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7B46" w14:textId="77777777" w:rsidR="00951816" w:rsidRDefault="00951816" w:rsidP="00951816">
      <w:pPr>
        <w:pStyle w:val="Ttulo"/>
      </w:pP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MENOR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78"/>
        <w:gridCol w:w="1132"/>
        <w:gridCol w:w="5733"/>
      </w:tblGrid>
      <w:tr w:rsidR="00951816" w14:paraId="26C398AA" w14:textId="77777777" w:rsidTr="00D40A50">
        <w:trPr>
          <w:trHeight w:val="494"/>
          <w:jc w:val="center"/>
        </w:trPr>
        <w:tc>
          <w:tcPr>
            <w:tcW w:w="734" w:type="dxa"/>
            <w:shd w:val="clear" w:color="auto" w:fill="E6E6E6"/>
            <w:vAlign w:val="center"/>
          </w:tcPr>
          <w:p w14:paraId="4D41F14A" w14:textId="77777777" w:rsidR="00951816" w:rsidRDefault="00951816" w:rsidP="001678FE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D./</w:t>
            </w:r>
            <w:proofErr w:type="gramStart"/>
            <w:r>
              <w:rPr>
                <w:b/>
              </w:rPr>
              <w:t>D.ª</w:t>
            </w:r>
            <w:proofErr w:type="gramEnd"/>
          </w:p>
        </w:tc>
        <w:tc>
          <w:tcPr>
            <w:tcW w:w="8043" w:type="dxa"/>
            <w:gridSpan w:val="3"/>
            <w:vAlign w:val="center"/>
          </w:tcPr>
          <w:p w14:paraId="75D27AF2" w14:textId="266B369D" w:rsidR="00951816" w:rsidRDefault="00D40A50" w:rsidP="001678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951816" w14:paraId="66F88094" w14:textId="77777777" w:rsidTr="00D40A50">
        <w:trPr>
          <w:trHeight w:val="625"/>
          <w:jc w:val="center"/>
        </w:trPr>
        <w:tc>
          <w:tcPr>
            <w:tcW w:w="8777" w:type="dxa"/>
            <w:gridSpan w:val="4"/>
            <w:shd w:val="clear" w:color="auto" w:fill="E6E6E6"/>
            <w:vAlign w:val="center"/>
          </w:tcPr>
          <w:p w14:paraId="38C48A40" w14:textId="77777777" w:rsidR="00951816" w:rsidRDefault="00951816" w:rsidP="001678FE">
            <w:pPr>
              <w:pStyle w:val="TableParagraph"/>
              <w:tabs>
                <w:tab w:val="left" w:pos="1706"/>
              </w:tabs>
              <w:spacing w:before="55"/>
              <w:ind w:left="69" w:right="55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</w:rPr>
              <w:tab/>
              <w:t>económico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(Denominación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orgánica,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investigación,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contrato,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curso...)</w:t>
            </w:r>
          </w:p>
        </w:tc>
      </w:tr>
      <w:tr w:rsidR="00951816" w14:paraId="7ED0D9EF" w14:textId="77777777" w:rsidTr="00D40A50">
        <w:trPr>
          <w:trHeight w:val="431"/>
          <w:jc w:val="center"/>
        </w:trPr>
        <w:tc>
          <w:tcPr>
            <w:tcW w:w="8777" w:type="dxa"/>
            <w:gridSpan w:val="4"/>
            <w:vAlign w:val="center"/>
          </w:tcPr>
          <w:p w14:paraId="6669AAF8" w14:textId="1708E6CE" w:rsidR="00951816" w:rsidRDefault="00D40A50" w:rsidP="001678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951816" w14:paraId="337B5747" w14:textId="77777777" w:rsidTr="00D40A50">
        <w:trPr>
          <w:trHeight w:val="453"/>
          <w:jc w:val="center"/>
        </w:trPr>
        <w:tc>
          <w:tcPr>
            <w:tcW w:w="1912" w:type="dxa"/>
            <w:gridSpan w:val="2"/>
            <w:shd w:val="clear" w:color="auto" w:fill="E6E6E6"/>
            <w:vAlign w:val="center"/>
          </w:tcPr>
          <w:p w14:paraId="2D45B0F8" w14:textId="77777777" w:rsidR="00951816" w:rsidRDefault="00951816" w:rsidP="001678FE">
            <w:pPr>
              <w:pStyle w:val="TableParagraph"/>
              <w:spacing w:before="57"/>
              <w:ind w:left="69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Proyecto:</w:t>
            </w:r>
          </w:p>
        </w:tc>
        <w:tc>
          <w:tcPr>
            <w:tcW w:w="6865" w:type="dxa"/>
            <w:gridSpan w:val="2"/>
            <w:vAlign w:val="center"/>
          </w:tcPr>
          <w:p w14:paraId="65A2D968" w14:textId="2C36680E" w:rsidR="00951816" w:rsidRDefault="00D40A50" w:rsidP="001678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951816" w14:paraId="5D78CD31" w14:textId="77777777" w:rsidTr="00D40A50">
        <w:trPr>
          <w:trHeight w:val="453"/>
          <w:jc w:val="center"/>
        </w:trPr>
        <w:tc>
          <w:tcPr>
            <w:tcW w:w="3044" w:type="dxa"/>
            <w:gridSpan w:val="3"/>
            <w:shd w:val="clear" w:color="auto" w:fill="E6E6E6"/>
            <w:vAlign w:val="center"/>
          </w:tcPr>
          <w:p w14:paraId="1DD0193C" w14:textId="77777777" w:rsidR="00951816" w:rsidRDefault="00951816" w:rsidP="001678FE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Aplicación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Presupuestaria:</w:t>
            </w:r>
          </w:p>
        </w:tc>
        <w:tc>
          <w:tcPr>
            <w:tcW w:w="5733" w:type="dxa"/>
            <w:vAlign w:val="center"/>
          </w:tcPr>
          <w:p w14:paraId="5364CF7D" w14:textId="39E3CEAB" w:rsidR="00951816" w:rsidRDefault="00D40A50" w:rsidP="001678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14:paraId="7E64C862" w14:textId="6622AE2F" w:rsidR="00951816" w:rsidRDefault="00951816" w:rsidP="00D40A50">
      <w:pPr>
        <w:pStyle w:val="Textoindependiente"/>
        <w:spacing w:before="120" w:after="120"/>
        <w:ind w:right="96"/>
        <w:jc w:val="both"/>
      </w:pPr>
      <w:r>
        <w:t>Identificada la necesidad de celebrar un contrato público menor de los regulados en el</w:t>
      </w:r>
      <w:r>
        <w:rPr>
          <w:spacing w:val="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118</w:t>
      </w:r>
      <w:r>
        <w:rPr>
          <w:spacing w:val="9"/>
        </w:rPr>
        <w:t xml:space="preserve"> </w:t>
      </w:r>
      <w:r>
        <w:t>LCSP</w:t>
      </w:r>
      <w:r>
        <w:rPr>
          <w:spacing w:val="11"/>
        </w:rPr>
        <w:t xml:space="preserve"> </w:t>
      </w:r>
      <w:r>
        <w:t>9/2017,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cumplimiento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realización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fines</w:t>
      </w:r>
      <w:r>
        <w:rPr>
          <w:spacing w:val="10"/>
        </w:rPr>
        <w:t xml:space="preserve"> </w:t>
      </w:r>
      <w:r>
        <w:t>institucionales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Universidad de Murcia, manifiesto que la naturaleza y extensión de las necesidades</w:t>
      </w:r>
      <w:r>
        <w:rPr>
          <w:spacing w:val="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pretenden</w:t>
      </w:r>
      <w:r>
        <w:rPr>
          <w:spacing w:val="-3"/>
        </w:rPr>
        <w:t xml:space="preserve"> </w:t>
      </w:r>
      <w:r>
        <w:t>cubrirse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proyectado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siguientes: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5487"/>
      </w:tblGrid>
      <w:tr w:rsidR="00D40A50" w14:paraId="78E3F2E8" w14:textId="77777777" w:rsidTr="00313A0F">
        <w:trPr>
          <w:trHeight w:val="313"/>
          <w:jc w:val="center"/>
        </w:trPr>
        <w:tc>
          <w:tcPr>
            <w:tcW w:w="3269" w:type="dxa"/>
            <w:shd w:val="clear" w:color="auto" w:fill="E6E6E6"/>
            <w:vAlign w:val="center"/>
          </w:tcPr>
          <w:p w14:paraId="085DC8E4" w14:textId="69A7D1A6" w:rsidR="00D40A50" w:rsidRDefault="00D40A50" w:rsidP="00313A0F">
            <w:pPr>
              <w:pStyle w:val="TableParagraph"/>
              <w:spacing w:before="57" w:line="237" w:lineRule="exact"/>
              <w:ind w:right="98"/>
              <w:rPr>
                <w:b/>
              </w:rPr>
            </w:pPr>
            <w:r>
              <w:rPr>
                <w:b/>
              </w:rPr>
              <w:t xml:space="preserve">Indicar la necesidad del </w:t>
            </w:r>
            <w:proofErr w:type="spellStart"/>
            <w:r>
              <w:rPr>
                <w:b/>
              </w:rPr>
              <w:t>contraro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487" w:type="dxa"/>
            <w:vAlign w:val="center"/>
          </w:tcPr>
          <w:p w14:paraId="10F0972A" w14:textId="7C20E82E" w:rsidR="00D40A50" w:rsidRDefault="00D40A50" w:rsidP="00313A0F">
            <w:pPr>
              <w:pStyle w:val="TableParagraph"/>
              <w:ind w:right="98"/>
              <w:rPr>
                <w:rFonts w:ascii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14:paraId="71FDD960" w14:textId="77777777" w:rsidR="00951816" w:rsidRDefault="00951816" w:rsidP="00951816">
      <w:pPr>
        <w:pStyle w:val="Textoindependiente"/>
        <w:spacing w:before="28"/>
        <w:ind w:right="98"/>
      </w:pPr>
    </w:p>
    <w:p w14:paraId="7B6853E8" w14:textId="43320BDC" w:rsidR="00951816" w:rsidRDefault="00951816" w:rsidP="00951816">
      <w:pPr>
        <w:pStyle w:val="Textoindependiente"/>
        <w:spacing w:before="28"/>
        <w:ind w:right="98"/>
      </w:pPr>
      <w:r>
        <w:t>y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tales</w:t>
      </w:r>
      <w:r>
        <w:rPr>
          <w:spacing w:val="44"/>
        </w:rPr>
        <w:t xml:space="preserve"> </w:t>
      </w:r>
      <w:r>
        <w:t>efectos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emite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informe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necesidad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proceder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siguiente detalle:</w:t>
      </w:r>
    </w:p>
    <w:p w14:paraId="6C67D24E" w14:textId="77777777" w:rsidR="00951816" w:rsidRDefault="00951816" w:rsidP="00951816">
      <w:pPr>
        <w:pStyle w:val="Textoindependiente"/>
        <w:spacing w:before="7"/>
        <w:ind w:right="98"/>
        <w:rPr>
          <w:sz w:val="27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5487"/>
      </w:tblGrid>
      <w:tr w:rsidR="00951816" w14:paraId="2581BAA8" w14:textId="77777777" w:rsidTr="00D40A50">
        <w:trPr>
          <w:trHeight w:val="313"/>
          <w:jc w:val="center"/>
        </w:trPr>
        <w:tc>
          <w:tcPr>
            <w:tcW w:w="3269" w:type="dxa"/>
            <w:shd w:val="clear" w:color="auto" w:fill="E6E6E6"/>
            <w:vAlign w:val="center"/>
          </w:tcPr>
          <w:p w14:paraId="65FBF13F" w14:textId="77777777" w:rsidR="00951816" w:rsidRDefault="00951816" w:rsidP="00951816">
            <w:pPr>
              <w:pStyle w:val="TableParagraph"/>
              <w:spacing w:before="57" w:line="237" w:lineRule="exact"/>
              <w:ind w:right="98"/>
              <w:rPr>
                <w:b/>
              </w:rPr>
            </w:pPr>
            <w:r>
              <w:rPr>
                <w:b/>
              </w:rPr>
              <w:t>Obra/Servicio/Suministro:</w:t>
            </w:r>
          </w:p>
        </w:tc>
        <w:tc>
          <w:tcPr>
            <w:tcW w:w="5487" w:type="dxa"/>
            <w:vAlign w:val="center"/>
          </w:tcPr>
          <w:p w14:paraId="0D62E1EB" w14:textId="1578189C" w:rsidR="00951816" w:rsidRDefault="00D40A50" w:rsidP="00951816">
            <w:pPr>
              <w:pStyle w:val="TableParagraph"/>
              <w:ind w:right="98"/>
              <w:rPr>
                <w:rFonts w:ascii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951816" w14:paraId="2909CF7A" w14:textId="77777777" w:rsidTr="00D40A50">
        <w:trPr>
          <w:trHeight w:val="568"/>
          <w:jc w:val="center"/>
        </w:trPr>
        <w:tc>
          <w:tcPr>
            <w:tcW w:w="3269" w:type="dxa"/>
            <w:shd w:val="clear" w:color="auto" w:fill="E6E6E6"/>
            <w:vAlign w:val="center"/>
          </w:tcPr>
          <w:p w14:paraId="7CE2810A" w14:textId="77777777" w:rsidR="00951816" w:rsidRDefault="00951816" w:rsidP="00951816">
            <w:pPr>
              <w:pStyle w:val="TableParagraph"/>
              <w:spacing w:before="57" w:line="252" w:lineRule="exact"/>
              <w:ind w:right="9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estimado:</w:t>
            </w:r>
          </w:p>
          <w:p w14:paraId="187D5DD0" w14:textId="77777777" w:rsidR="00951816" w:rsidRDefault="00951816" w:rsidP="00951816">
            <w:pPr>
              <w:pStyle w:val="TableParagraph"/>
              <w:spacing w:line="238" w:lineRule="exact"/>
              <w:ind w:right="98"/>
              <w:rPr>
                <w:b/>
              </w:rPr>
            </w:pPr>
            <w:r>
              <w:rPr>
                <w:b/>
              </w:rPr>
              <w:t>I.V.A.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EXCLUIDO</w:t>
            </w:r>
          </w:p>
        </w:tc>
        <w:tc>
          <w:tcPr>
            <w:tcW w:w="5487" w:type="dxa"/>
            <w:vAlign w:val="center"/>
          </w:tcPr>
          <w:p w14:paraId="1C84ADBC" w14:textId="3B54E1BA" w:rsidR="00951816" w:rsidRDefault="00D40A50" w:rsidP="00951816">
            <w:pPr>
              <w:pStyle w:val="TableParagraph"/>
              <w:ind w:right="98"/>
              <w:rPr>
                <w:rFonts w:ascii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t> </w:t>
            </w:r>
            <w:r>
              <w:rPr>
                <w:rFonts w:eastAsia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14:paraId="78694E6A" w14:textId="77777777" w:rsidR="00951816" w:rsidRDefault="00951816" w:rsidP="00951816">
      <w:pPr>
        <w:pStyle w:val="Textoindependiente"/>
        <w:spacing w:before="1"/>
        <w:ind w:right="98"/>
        <w:rPr>
          <w:sz w:val="27"/>
        </w:rPr>
      </w:pPr>
    </w:p>
    <w:p w14:paraId="7AF22334" w14:textId="77777777" w:rsidR="00951816" w:rsidRDefault="00951816" w:rsidP="00951816">
      <w:pPr>
        <w:pStyle w:val="Textoindependiente"/>
        <w:ind w:right="98" w:firstLine="607"/>
      </w:pPr>
      <w:r>
        <w:t>Indicando que el plazo de ejecución de la prestación no va más allá del vigente</w:t>
      </w:r>
      <w:r>
        <w:rPr>
          <w:spacing w:val="-59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presupuestario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declarando responsablemente:</w:t>
      </w:r>
    </w:p>
    <w:p w14:paraId="363D74E8" w14:textId="77777777" w:rsidR="00951816" w:rsidRDefault="00951816" w:rsidP="00951816">
      <w:pPr>
        <w:pStyle w:val="Textoindependiente"/>
        <w:spacing w:before="11"/>
        <w:ind w:right="98"/>
        <w:rPr>
          <w:sz w:val="21"/>
        </w:rPr>
      </w:pPr>
    </w:p>
    <w:p w14:paraId="6EBABB39" w14:textId="77777777" w:rsidR="00951816" w:rsidRDefault="00951816" w:rsidP="00951816">
      <w:pPr>
        <w:pStyle w:val="Prrafodelista"/>
        <w:numPr>
          <w:ilvl w:val="0"/>
          <w:numId w:val="1"/>
        </w:numPr>
        <w:tabs>
          <w:tab w:val="left" w:pos="1901"/>
        </w:tabs>
        <w:ind w:left="567" w:right="98"/>
        <w:jc w:val="both"/>
      </w:pPr>
      <w:r>
        <w:t>Que no se ha alterado el objeto del contrato para evitar la aplicación de las reglas</w:t>
      </w:r>
      <w:r>
        <w:rPr>
          <w:spacing w:val="-59"/>
        </w:rPr>
        <w:t xml:space="preserve"> </w:t>
      </w:r>
      <w:r>
        <w:t>generales de</w:t>
      </w:r>
      <w:r>
        <w:rPr>
          <w:spacing w:val="-2"/>
        </w:rPr>
        <w:t xml:space="preserve"> </w:t>
      </w:r>
      <w:r>
        <w:t>contratación.</w:t>
      </w:r>
    </w:p>
    <w:p w14:paraId="0CAD7CD6" w14:textId="2DE675E5" w:rsidR="00951816" w:rsidRDefault="00951816" w:rsidP="00951816">
      <w:pPr>
        <w:pStyle w:val="Prrafodelista"/>
        <w:numPr>
          <w:ilvl w:val="0"/>
          <w:numId w:val="1"/>
        </w:numPr>
        <w:tabs>
          <w:tab w:val="left" w:pos="1901"/>
        </w:tabs>
        <w:spacing w:before="120"/>
        <w:ind w:left="567" w:right="98"/>
        <w:jc w:val="both"/>
      </w:pPr>
      <w:r>
        <w:t>Que con el mismo contratista no se han suscrito en los últimos doce meses más</w:t>
      </w:r>
      <w:r>
        <w:rPr>
          <w:spacing w:val="1"/>
        </w:rPr>
        <w:t xml:space="preserve"> </w:t>
      </w:r>
      <w:r>
        <w:t>contratos menores con el mismo objeto, que individual o conjuntamente superen</w:t>
      </w:r>
      <w:r>
        <w:rPr>
          <w:spacing w:val="1"/>
        </w:rPr>
        <w:t xml:space="preserve"> </w:t>
      </w:r>
      <w:r>
        <w:t>la cifra que consta en el apartado primero del artículo 118.1 de la Ley 9/2017, de</w:t>
      </w:r>
      <w:r>
        <w:rPr>
          <w:spacing w:val="1"/>
        </w:rPr>
        <w:t xml:space="preserve"> </w:t>
      </w:r>
      <w:r>
        <w:t xml:space="preserve">Contratos del Sector Público, o bien que, </w:t>
      </w:r>
      <w:proofErr w:type="spellStart"/>
      <w:r>
        <w:t>aún</w:t>
      </w:r>
      <w:proofErr w:type="spellEnd"/>
      <w:r>
        <w:t xml:space="preserve"> produciéndose la circunstancia</w:t>
      </w:r>
      <w:r>
        <w:rPr>
          <w:spacing w:val="1"/>
        </w:rPr>
        <w:t xml:space="preserve"> </w:t>
      </w:r>
      <w:r>
        <w:t>descrita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apartado</w:t>
      </w:r>
      <w:r>
        <w:rPr>
          <w:spacing w:val="-3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tiene como</w:t>
      </w:r>
      <w:r>
        <w:rPr>
          <w:spacing w:val="-3"/>
        </w:rPr>
        <w:t xml:space="preserve"> </w:t>
      </w:r>
      <w:r>
        <w:t>objeto:</w:t>
      </w:r>
    </w:p>
    <w:p w14:paraId="769ACC6B" w14:textId="77777777" w:rsidR="00951816" w:rsidRDefault="00951816" w:rsidP="00951816">
      <w:pPr>
        <w:pStyle w:val="Prrafodelista"/>
        <w:numPr>
          <w:ilvl w:val="1"/>
          <w:numId w:val="1"/>
        </w:numPr>
        <w:tabs>
          <w:tab w:val="left" w:pos="2727"/>
        </w:tabs>
        <w:spacing w:before="135" w:line="220" w:lineRule="auto"/>
        <w:ind w:left="1560" w:right="98"/>
      </w:pPr>
      <w:r>
        <w:t>la creación o adquisición de una obra de arte o representación artística</w:t>
      </w:r>
      <w:r>
        <w:rPr>
          <w:spacing w:val="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integrante del</w:t>
      </w:r>
      <w:r>
        <w:rPr>
          <w:spacing w:val="-4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Histórico Español.</w:t>
      </w:r>
    </w:p>
    <w:p w14:paraId="2BA12B4B" w14:textId="77777777" w:rsidR="00951816" w:rsidRDefault="00951816" w:rsidP="00951816">
      <w:pPr>
        <w:pStyle w:val="Prrafodelista"/>
        <w:numPr>
          <w:ilvl w:val="1"/>
          <w:numId w:val="1"/>
        </w:numPr>
        <w:tabs>
          <w:tab w:val="left" w:pos="2727"/>
        </w:tabs>
        <w:spacing w:before="12" w:line="232" w:lineRule="auto"/>
        <w:ind w:left="1560" w:right="98"/>
      </w:pPr>
      <w:r>
        <w:t>una prestación sobre la que no existe competencia por razones técnicas</w:t>
      </w:r>
      <w:r>
        <w:rPr>
          <w:spacing w:val="1"/>
        </w:rPr>
        <w:t xml:space="preserve"> </w:t>
      </w:r>
      <w:r>
        <w:t>o por estar protegida por derechos exclusivos, incluidos los derechos 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e industrial,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una alternativa</w:t>
      </w:r>
      <w:r>
        <w:rPr>
          <w:spacing w:val="-1"/>
        </w:rPr>
        <w:t xml:space="preserve"> </w:t>
      </w:r>
      <w:r>
        <w:t>o sustituto</w:t>
      </w:r>
      <w:r>
        <w:rPr>
          <w:spacing w:val="-2"/>
        </w:rPr>
        <w:t xml:space="preserve"> </w:t>
      </w:r>
      <w:r>
        <w:t>razonable.</w:t>
      </w:r>
    </w:p>
    <w:p w14:paraId="6106B0FD" w14:textId="77777777" w:rsidR="00951816" w:rsidRDefault="00951816" w:rsidP="00951816">
      <w:pPr>
        <w:pStyle w:val="Textoindependiente"/>
        <w:spacing w:before="5"/>
        <w:ind w:right="98"/>
      </w:pPr>
    </w:p>
    <w:p w14:paraId="58C0C475" w14:textId="7F7F22BC" w:rsidR="00951816" w:rsidRDefault="00951816" w:rsidP="00951816">
      <w:pPr>
        <w:pStyle w:val="Textoindependiente"/>
        <w:tabs>
          <w:tab w:val="left" w:pos="2399"/>
        </w:tabs>
        <w:spacing w:before="205"/>
        <w:ind w:right="98"/>
        <w:jc w:val="center"/>
        <w:rPr>
          <w:sz w:val="17"/>
        </w:rPr>
      </w:pPr>
      <w:proofErr w:type="spellStart"/>
      <w:r>
        <w:t>Fdo</w:t>
      </w:r>
      <w:proofErr w:type="spellEnd"/>
      <w:r>
        <w:t>:</w:t>
      </w:r>
      <w:r>
        <w:rPr>
          <w:spacing w:val="2"/>
        </w:rPr>
        <w:t xml:space="preserve"> </w:t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instrText xml:space="preserve"> FORMTEXT </w:instrText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fldChar w:fldCharType="separate"/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t> </w:t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t> </w:t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t> </w:t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t> </w:t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t> </w:t>
      </w:r>
      <w:r w:rsidR="00D40A50">
        <w:rPr>
          <w:rFonts w:ascii="Arial" w:eastAsia="Times New Roman" w:hAnsi="Arial" w:cs="Arial"/>
          <w:sz w:val="18"/>
          <w:szCs w:val="18"/>
          <w:lang w:val="es-ES_tradnl" w:eastAsia="es-ES"/>
        </w:rPr>
        <w:fldChar w:fldCharType="end"/>
      </w:r>
    </w:p>
    <w:p w14:paraId="4BBC9625" w14:textId="15C36BEA" w:rsidR="00D26F0C" w:rsidRPr="00951816" w:rsidRDefault="00D26F0C" w:rsidP="00951816"/>
    <w:sectPr w:rsidR="00D26F0C" w:rsidRPr="00951816" w:rsidSect="00951816">
      <w:headerReference w:type="default" r:id="rId7"/>
      <w:footerReference w:type="default" r:id="rId8"/>
      <w:pgSz w:w="11909" w:h="16834"/>
      <w:pgMar w:top="1366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031B" w14:textId="77777777" w:rsidR="00121733" w:rsidRDefault="00121733">
      <w:pPr>
        <w:spacing w:line="240" w:lineRule="auto"/>
      </w:pPr>
      <w:r>
        <w:separator/>
      </w:r>
    </w:p>
  </w:endnote>
  <w:endnote w:type="continuationSeparator" w:id="0">
    <w:p w14:paraId="2BB7CC00" w14:textId="77777777" w:rsidR="00121733" w:rsidRDefault="0012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BM Plex Sans">
    <w:altName w:val="Corbel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Medium">
    <w:altName w:val="Corbel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6B185FB7" w14:textId="02617753" w:rsidR="00464B7B" w:rsidRDefault="00B67388" w:rsidP="00464B7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Área Económica</w:t>
          </w:r>
        </w:p>
        <w:p w14:paraId="211CD7AC" w14:textId="4E2D6EC3" w:rsidR="00464B7B" w:rsidRPr="00051EE0" w:rsidRDefault="00B67388" w:rsidP="00464B7B">
          <w:pPr>
            <w:ind w:left="-860" w:right="-460" w:firstLine="893"/>
            <w:rPr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Viamart</w:t>
          </w:r>
          <w:proofErr w:type="spellEnd"/>
          <w:r>
            <w:rPr>
              <w:color w:val="002129"/>
              <w:sz w:val="16"/>
              <w:szCs w:val="16"/>
            </w:rPr>
            <w:t>, Entlo.</w:t>
          </w:r>
        </w:p>
        <w:p w14:paraId="6A8A97CE" w14:textId="27723FA5" w:rsidR="00464B7B" w:rsidRPr="00051EE0" w:rsidRDefault="00B67388" w:rsidP="00464B7B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C/ Escopeteros 11</w:t>
          </w:r>
        </w:p>
        <w:p w14:paraId="61EEAE1F" w14:textId="59533C72" w:rsidR="00464B7B" w:rsidRPr="00051EE0" w:rsidRDefault="00464B7B" w:rsidP="00464B7B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B67388">
            <w:rPr>
              <w:color w:val="002129"/>
              <w:sz w:val="16"/>
              <w:szCs w:val="16"/>
            </w:rPr>
            <w:t>3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1C9AD7DF" w:rsidR="00051EE0" w:rsidRDefault="00464B7B" w:rsidP="00464B7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00D877AF" w:rsidR="00360893" w:rsidRDefault="00B6738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cauage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0289187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67388">
            <w:rPr>
              <w:color w:val="002129"/>
              <w:sz w:val="16"/>
              <w:szCs w:val="16"/>
            </w:rPr>
            <w:t>3716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6867" w14:textId="77777777" w:rsidR="00121733" w:rsidRDefault="00121733">
      <w:pPr>
        <w:spacing w:line="240" w:lineRule="auto"/>
      </w:pPr>
      <w:r>
        <w:separator/>
      </w:r>
    </w:p>
  </w:footnote>
  <w:footnote w:type="continuationSeparator" w:id="0">
    <w:p w14:paraId="7DD9CABC" w14:textId="77777777" w:rsidR="00121733" w:rsidRDefault="0012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7C2E62C4" w:rsidR="00F73C10" w:rsidRDefault="00130818" w:rsidP="00951816">
    <w:pPr>
      <w:ind w:left="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A8FE999" wp14:editId="4243B954">
          <wp:simplePos x="0" y="0"/>
          <wp:positionH relativeFrom="page">
            <wp:posOffset>9525</wp:posOffset>
          </wp:positionH>
          <wp:positionV relativeFrom="paragraph">
            <wp:posOffset>0</wp:posOffset>
          </wp:positionV>
          <wp:extent cx="7547610" cy="1524000"/>
          <wp:effectExtent l="0" t="0" r="0" b="0"/>
          <wp:wrapNone/>
          <wp:docPr id="33" name="Imagen 33" descr="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96302" name="Imagen 1" descr="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4BA"/>
    <w:multiLevelType w:val="hybridMultilevel"/>
    <w:tmpl w:val="0D40914A"/>
    <w:lvl w:ilvl="0" w:tplc="5B8EE4DE">
      <w:start w:val="1"/>
      <w:numFmt w:val="decimal"/>
      <w:lvlText w:val="%1."/>
      <w:lvlJc w:val="left"/>
      <w:pPr>
        <w:ind w:left="199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59CE49E">
      <w:numFmt w:val="bullet"/>
      <w:lvlText w:val="-"/>
      <w:lvlJc w:val="left"/>
      <w:pPr>
        <w:ind w:left="2825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43A45A00">
      <w:numFmt w:val="bullet"/>
      <w:lvlText w:val="•"/>
      <w:lvlJc w:val="left"/>
      <w:pPr>
        <w:ind w:left="3721" w:hanging="361"/>
      </w:pPr>
      <w:rPr>
        <w:rFonts w:hint="default"/>
        <w:lang w:val="es-ES" w:eastAsia="en-US" w:bidi="ar-SA"/>
      </w:rPr>
    </w:lvl>
    <w:lvl w:ilvl="3" w:tplc="11E87788">
      <w:numFmt w:val="bullet"/>
      <w:lvlText w:val="•"/>
      <w:lvlJc w:val="left"/>
      <w:pPr>
        <w:ind w:left="4624" w:hanging="361"/>
      </w:pPr>
      <w:rPr>
        <w:rFonts w:hint="default"/>
        <w:lang w:val="es-ES" w:eastAsia="en-US" w:bidi="ar-SA"/>
      </w:rPr>
    </w:lvl>
    <w:lvl w:ilvl="4" w:tplc="0324C7E0">
      <w:numFmt w:val="bullet"/>
      <w:lvlText w:val="•"/>
      <w:lvlJc w:val="left"/>
      <w:pPr>
        <w:ind w:left="5527" w:hanging="361"/>
      </w:pPr>
      <w:rPr>
        <w:rFonts w:hint="default"/>
        <w:lang w:val="es-ES" w:eastAsia="en-US" w:bidi="ar-SA"/>
      </w:rPr>
    </w:lvl>
    <w:lvl w:ilvl="5" w:tplc="6CEACF02">
      <w:numFmt w:val="bullet"/>
      <w:lvlText w:val="•"/>
      <w:lvlJc w:val="left"/>
      <w:pPr>
        <w:ind w:left="6430" w:hanging="361"/>
      </w:pPr>
      <w:rPr>
        <w:rFonts w:hint="default"/>
        <w:lang w:val="es-ES" w:eastAsia="en-US" w:bidi="ar-SA"/>
      </w:rPr>
    </w:lvl>
    <w:lvl w:ilvl="6" w:tplc="FEF8F696">
      <w:numFmt w:val="bullet"/>
      <w:lvlText w:val="•"/>
      <w:lvlJc w:val="left"/>
      <w:pPr>
        <w:ind w:left="7333" w:hanging="361"/>
      </w:pPr>
      <w:rPr>
        <w:rFonts w:hint="default"/>
        <w:lang w:val="es-ES" w:eastAsia="en-US" w:bidi="ar-SA"/>
      </w:rPr>
    </w:lvl>
    <w:lvl w:ilvl="7" w:tplc="7144AF5C">
      <w:numFmt w:val="bullet"/>
      <w:lvlText w:val="•"/>
      <w:lvlJc w:val="left"/>
      <w:pPr>
        <w:ind w:left="8236" w:hanging="361"/>
      </w:pPr>
      <w:rPr>
        <w:rFonts w:hint="default"/>
        <w:lang w:val="es-ES" w:eastAsia="en-US" w:bidi="ar-SA"/>
      </w:rPr>
    </w:lvl>
    <w:lvl w:ilvl="8" w:tplc="DB98E8E4">
      <w:numFmt w:val="bullet"/>
      <w:lvlText w:val="•"/>
      <w:lvlJc w:val="left"/>
      <w:pPr>
        <w:ind w:left="9139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140F2"/>
    <w:rsid w:val="00121733"/>
    <w:rsid w:val="00130818"/>
    <w:rsid w:val="001A080E"/>
    <w:rsid w:val="002109A1"/>
    <w:rsid w:val="00295993"/>
    <w:rsid w:val="002B0EC6"/>
    <w:rsid w:val="003301C9"/>
    <w:rsid w:val="00340532"/>
    <w:rsid w:val="00360893"/>
    <w:rsid w:val="00376F39"/>
    <w:rsid w:val="00382684"/>
    <w:rsid w:val="00437D83"/>
    <w:rsid w:val="00464B7B"/>
    <w:rsid w:val="004667A1"/>
    <w:rsid w:val="00500C80"/>
    <w:rsid w:val="00582F3F"/>
    <w:rsid w:val="005C4285"/>
    <w:rsid w:val="00656ABA"/>
    <w:rsid w:val="0068203E"/>
    <w:rsid w:val="006A7626"/>
    <w:rsid w:val="00726631"/>
    <w:rsid w:val="007636EA"/>
    <w:rsid w:val="00764775"/>
    <w:rsid w:val="00775C99"/>
    <w:rsid w:val="0081522D"/>
    <w:rsid w:val="008A6F7C"/>
    <w:rsid w:val="00934B5F"/>
    <w:rsid w:val="00951816"/>
    <w:rsid w:val="00960219"/>
    <w:rsid w:val="00A62E2A"/>
    <w:rsid w:val="00A910AB"/>
    <w:rsid w:val="00B4255E"/>
    <w:rsid w:val="00B67388"/>
    <w:rsid w:val="00C40A99"/>
    <w:rsid w:val="00C74F62"/>
    <w:rsid w:val="00D26F0C"/>
    <w:rsid w:val="00D40A50"/>
    <w:rsid w:val="00D4205D"/>
    <w:rsid w:val="00DF79AD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51816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1816"/>
    <w:rPr>
      <w:rFonts w:ascii="Arial MT" w:eastAsia="Arial MT" w:hAnsi="Arial MT" w:cs="Arial MT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1"/>
    <w:qFormat/>
    <w:rsid w:val="00951816"/>
    <w:pPr>
      <w:widowControl w:val="0"/>
      <w:autoSpaceDE w:val="0"/>
      <w:autoSpaceDN w:val="0"/>
      <w:spacing w:line="240" w:lineRule="auto"/>
      <w:ind w:left="1900" w:right="974" w:hanging="361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951816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Justo Montoya Bernabeu</dc:creator>
  <cp:lastModifiedBy>JUSTO MONTOYA BERNABEU</cp:lastModifiedBy>
  <cp:revision>2</cp:revision>
  <dcterms:created xsi:type="dcterms:W3CDTF">2024-01-30T11:10:00Z</dcterms:created>
  <dcterms:modified xsi:type="dcterms:W3CDTF">2024-01-30T11:10:00Z</dcterms:modified>
</cp:coreProperties>
</file>