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5D8E" w14:textId="77777777" w:rsidR="007810D6" w:rsidRPr="007810D6" w:rsidRDefault="007810D6" w:rsidP="007810D6">
      <w:pPr>
        <w:ind w:left="284"/>
        <w:jc w:val="right"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 xml:space="preserve">ANEXO 2: BAREMO </w:t>
      </w:r>
    </w:p>
    <w:p w14:paraId="2E0FD3B9" w14:textId="77777777" w:rsidR="007810D6" w:rsidRPr="007810D6" w:rsidRDefault="007810D6" w:rsidP="007810D6">
      <w:pPr>
        <w:ind w:left="284"/>
        <w:jc w:val="right"/>
        <w:rPr>
          <w:rFonts w:cs="Arial"/>
          <w:b/>
          <w:sz w:val="20"/>
          <w:szCs w:val="20"/>
          <w:lang w:eastAsia="en-US"/>
        </w:rPr>
      </w:pPr>
    </w:p>
    <w:p w14:paraId="303A3075" w14:textId="77777777" w:rsidR="007810D6" w:rsidRPr="007810D6" w:rsidRDefault="007810D6" w:rsidP="007810D6">
      <w:pPr>
        <w:ind w:left="284"/>
        <w:jc w:val="center"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>MODALIDADES A y B</w:t>
      </w:r>
    </w:p>
    <w:p w14:paraId="4361C096" w14:textId="77777777" w:rsidR="007810D6" w:rsidRPr="007810D6" w:rsidRDefault="007810D6" w:rsidP="007810D6">
      <w:pPr>
        <w:ind w:left="284"/>
        <w:jc w:val="right"/>
        <w:rPr>
          <w:rFonts w:cs="Arial"/>
          <w:b/>
          <w:sz w:val="20"/>
          <w:szCs w:val="20"/>
          <w:lang w:eastAsia="en-US"/>
        </w:rPr>
      </w:pPr>
    </w:p>
    <w:p w14:paraId="18260A4B" w14:textId="34DE03A6" w:rsidR="007810D6" w:rsidRPr="007810D6" w:rsidRDefault="007810D6" w:rsidP="007810D6">
      <w:pPr>
        <w:pStyle w:val="Textoindependiente"/>
        <w:ind w:left="284"/>
        <w:rPr>
          <w:rFonts w:ascii="IBM Plex Sans" w:hAnsi="IBM Plex Sans" w:cs="Arial"/>
          <w:sz w:val="20"/>
        </w:rPr>
      </w:pPr>
      <w:r w:rsidRPr="007810D6">
        <w:rPr>
          <w:rFonts w:ascii="IBM Plex Sans" w:hAnsi="IBM Plex Sans" w:cs="Arial"/>
          <w:sz w:val="20"/>
        </w:rPr>
        <w:t xml:space="preserve">Será requisito indispensable la presentación del </w:t>
      </w:r>
      <w:proofErr w:type="spellStart"/>
      <w:r w:rsidRPr="007810D6">
        <w:rPr>
          <w:rFonts w:ascii="IBM Plex Sans" w:hAnsi="IBM Plex Sans" w:cs="Arial"/>
          <w:b/>
          <w:i/>
          <w:sz w:val="20"/>
        </w:rPr>
        <w:t>curriculum</w:t>
      </w:r>
      <w:proofErr w:type="spellEnd"/>
      <w:r w:rsidRPr="007810D6">
        <w:rPr>
          <w:rFonts w:ascii="IBM Plex Sans" w:hAnsi="IBM Plex Sans" w:cs="Arial"/>
          <w:b/>
          <w:i/>
          <w:sz w:val="20"/>
        </w:rPr>
        <w:t xml:space="preserve"> vitae</w:t>
      </w:r>
      <w:r w:rsidRPr="007810D6">
        <w:rPr>
          <w:rFonts w:ascii="IBM Plex Sans" w:hAnsi="IBM Plex Sans" w:cs="Arial"/>
          <w:b/>
          <w:sz w:val="20"/>
        </w:rPr>
        <w:t xml:space="preserve"> de los solicitantes en el formato </w:t>
      </w:r>
      <w:r w:rsidRPr="007810D6">
        <w:rPr>
          <w:rFonts w:ascii="IBM Plex Sans" w:hAnsi="IBM Plex Sans" w:cs="Arial"/>
          <w:b/>
          <w:sz w:val="20"/>
          <w:lang w:val="es-ES"/>
        </w:rPr>
        <w:t>abreviado</w:t>
      </w:r>
      <w:r w:rsidRPr="007810D6">
        <w:rPr>
          <w:rFonts w:ascii="IBM Plex Sans" w:hAnsi="IBM Plex Sans" w:cs="Arial"/>
          <w:b/>
          <w:sz w:val="20"/>
        </w:rPr>
        <w:t xml:space="preserve">, en caso de no presentarlo en dicho formato con los indicadores de méritos según el baremo, la solicitud se tendrá por NO ADMITIDA al no cumplir el formato exigido. </w:t>
      </w:r>
      <w:r w:rsidRPr="007810D6">
        <w:rPr>
          <w:rFonts w:ascii="IBM Plex Sans" w:hAnsi="IBM Plex Sans" w:cs="Arial"/>
          <w:sz w:val="20"/>
        </w:rPr>
        <w:t xml:space="preserve">Se sumarán las puntuaciones obtenidas en los distintos apartados, valorando los méritos recogidos en el baremo descrito a continuación, siendo admisible, en los casos en los que proceda, el detalle de puntuación hasta dos decimales. </w:t>
      </w:r>
    </w:p>
    <w:p w14:paraId="0665A3E2" w14:textId="77777777" w:rsidR="007810D6" w:rsidRPr="007810D6" w:rsidRDefault="007810D6" w:rsidP="007810D6">
      <w:pPr>
        <w:spacing w:after="200"/>
        <w:ind w:left="284"/>
        <w:rPr>
          <w:rFonts w:cs="Arial"/>
          <w:b/>
          <w:sz w:val="20"/>
          <w:szCs w:val="20"/>
          <w:lang w:eastAsia="en-US"/>
        </w:rPr>
      </w:pPr>
    </w:p>
    <w:p w14:paraId="044CD744" w14:textId="77777777" w:rsidR="007810D6" w:rsidRPr="007810D6" w:rsidRDefault="007810D6" w:rsidP="007810D6">
      <w:pPr>
        <w:spacing w:after="200"/>
        <w:ind w:left="284"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 xml:space="preserve">1. </w:t>
      </w:r>
      <w:r w:rsidRPr="007810D6">
        <w:rPr>
          <w:rFonts w:cs="Arial"/>
          <w:b/>
          <w:caps/>
          <w:sz w:val="20"/>
          <w:szCs w:val="20"/>
          <w:lang w:eastAsia="en-US"/>
        </w:rPr>
        <w:t>Publicaciones</w:t>
      </w:r>
      <w:r w:rsidRPr="007810D6">
        <w:rPr>
          <w:rFonts w:cs="Arial"/>
          <w:b/>
          <w:sz w:val="20"/>
          <w:szCs w:val="20"/>
          <w:lang w:eastAsia="en-US"/>
        </w:rPr>
        <w:t xml:space="preserve">  </w:t>
      </w:r>
    </w:p>
    <w:p w14:paraId="12EB0E18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 xml:space="preserve">1.1 Artículos de investigación en revistas periódicas </w:t>
      </w:r>
      <w:r w:rsidRPr="007810D6">
        <w:rPr>
          <w:rFonts w:cs="Arial"/>
          <w:sz w:val="20"/>
          <w:szCs w:val="20"/>
          <w:lang w:eastAsia="en-US"/>
        </w:rPr>
        <w:t xml:space="preserve">     </w:t>
      </w:r>
    </w:p>
    <w:p w14:paraId="5E885FA5" w14:textId="77777777" w:rsidR="007810D6" w:rsidRPr="007810D6" w:rsidRDefault="007810D6" w:rsidP="007810D6">
      <w:pPr>
        <w:ind w:left="284"/>
        <w:rPr>
          <w:rFonts w:cs="Arial"/>
          <w:sz w:val="20"/>
          <w:szCs w:val="20"/>
        </w:rPr>
      </w:pPr>
      <w:r w:rsidRPr="007810D6">
        <w:rPr>
          <w:rFonts w:cs="Arial"/>
          <w:sz w:val="20"/>
          <w:szCs w:val="20"/>
        </w:rPr>
        <w:t xml:space="preserve">Se valorarán los artículos científicos, con proceso anónimo de revisión por pares, preferentemente las aportaciones que sean artículos científicos en revistas de especialización científica y de prestigio reconocido, aceptándose como tales las que ocupen posiciones relevantes en repertorios internacionales de las diferentes áreas.  </w:t>
      </w:r>
    </w:p>
    <w:p w14:paraId="30CA2E3C" w14:textId="77777777" w:rsidR="007810D6" w:rsidRPr="007810D6" w:rsidRDefault="007810D6" w:rsidP="007810D6">
      <w:pPr>
        <w:ind w:left="284"/>
        <w:rPr>
          <w:rFonts w:cs="Arial"/>
          <w:sz w:val="20"/>
          <w:szCs w:val="20"/>
        </w:rPr>
      </w:pPr>
      <w:r w:rsidRPr="007810D6">
        <w:rPr>
          <w:rFonts w:cs="Arial"/>
          <w:sz w:val="20"/>
          <w:szCs w:val="20"/>
        </w:rPr>
        <w:t xml:space="preserve">La valoración de cada artículo será la siguiente: </w:t>
      </w:r>
    </w:p>
    <w:p w14:paraId="575C7FD9" w14:textId="77777777" w:rsidR="007810D6" w:rsidRPr="007810D6" w:rsidRDefault="007810D6" w:rsidP="007810D6">
      <w:pPr>
        <w:pStyle w:val="Prrafodelista"/>
        <w:numPr>
          <w:ilvl w:val="0"/>
          <w:numId w:val="15"/>
        </w:numPr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 xml:space="preserve">Por cada artículo original relevante: </w:t>
      </w:r>
    </w:p>
    <w:p w14:paraId="12A18FB0" w14:textId="77777777" w:rsidR="007810D6" w:rsidRPr="007810D6" w:rsidRDefault="007810D6" w:rsidP="007810D6">
      <w:pPr>
        <w:pStyle w:val="Prrafodelista"/>
        <w:numPr>
          <w:ilvl w:val="0"/>
          <w:numId w:val="14"/>
        </w:numPr>
        <w:spacing w:after="16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en revistas que aparezcan en el JCR (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Journal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Citation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Reports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) 3 p. </w:t>
      </w:r>
    </w:p>
    <w:p w14:paraId="5B11FCF9" w14:textId="77777777" w:rsidR="007810D6" w:rsidRPr="007810D6" w:rsidRDefault="007810D6" w:rsidP="007810D6">
      <w:pPr>
        <w:pStyle w:val="Prrafodelista"/>
        <w:numPr>
          <w:ilvl w:val="0"/>
          <w:numId w:val="13"/>
        </w:numPr>
        <w:spacing w:after="16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en   revistas que aparezcan en el ERIH (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European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Reference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Index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for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the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Humanities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) 1,5 p. </w:t>
      </w:r>
    </w:p>
    <w:p w14:paraId="5C22B279" w14:textId="77777777" w:rsidR="007810D6" w:rsidRPr="007810D6" w:rsidRDefault="007810D6" w:rsidP="007810D6">
      <w:pPr>
        <w:pStyle w:val="Prrafodelista"/>
        <w:numPr>
          <w:ilvl w:val="0"/>
          <w:numId w:val="12"/>
        </w:numPr>
        <w:spacing w:after="16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en revistas que aparezcan en el SJR (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Scimago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Journal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Rank) 1,5 p. </w:t>
      </w:r>
    </w:p>
    <w:p w14:paraId="3A25B9E1" w14:textId="77777777" w:rsidR="007810D6" w:rsidRPr="007810D6" w:rsidRDefault="007810D6" w:rsidP="007810D6">
      <w:pPr>
        <w:pStyle w:val="Prrafodelista"/>
        <w:numPr>
          <w:ilvl w:val="0"/>
          <w:numId w:val="11"/>
        </w:numPr>
        <w:spacing w:after="16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 xml:space="preserve">en revistas que aparezcan en el CORE (Computing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Research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and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Education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Association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) 1,5 p. </w:t>
      </w:r>
    </w:p>
    <w:p w14:paraId="5458B21F" w14:textId="77777777" w:rsidR="007810D6" w:rsidRPr="007810D6" w:rsidRDefault="007810D6" w:rsidP="007810D6">
      <w:pPr>
        <w:pStyle w:val="Prrafodelista"/>
        <w:numPr>
          <w:ilvl w:val="0"/>
          <w:numId w:val="11"/>
        </w:numPr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en revista que aparezcan en el MIAR (Matriz de Información para Análisis de Revistas) 1,5 p. Se considerarán a partir de ICDS&gt;2.</w:t>
      </w:r>
    </w:p>
    <w:p w14:paraId="69B630BE" w14:textId="77777777" w:rsidR="007810D6" w:rsidRPr="007810D6" w:rsidRDefault="007810D6" w:rsidP="007810D6">
      <w:pPr>
        <w:pStyle w:val="Prrafodelista"/>
        <w:numPr>
          <w:ilvl w:val="0"/>
          <w:numId w:val="11"/>
        </w:numPr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 xml:space="preserve">en revistas que aparezcan en el Catálogo de </w:t>
      </w:r>
      <w:proofErr w:type="spellStart"/>
      <w:r w:rsidRPr="007810D6">
        <w:rPr>
          <w:rFonts w:ascii="IBM Plex Sans" w:hAnsi="IBM Plex Sans" w:cs="Arial"/>
          <w:sz w:val="20"/>
          <w:szCs w:val="20"/>
        </w:rPr>
        <w:t>Latindex</w:t>
      </w:r>
      <w:proofErr w:type="spellEnd"/>
      <w:r w:rsidRPr="007810D6">
        <w:rPr>
          <w:rFonts w:ascii="IBM Plex Sans" w:hAnsi="IBM Plex Sans" w:cs="Arial"/>
          <w:sz w:val="20"/>
          <w:szCs w:val="20"/>
        </w:rPr>
        <w:t xml:space="preserve"> (Sistema Regional de Información para Revistas Científicas de América Latina, el Caribe, España y Portugal) 1,5 p. Se considerarán siempre que cumplan todos los criterios.</w:t>
      </w:r>
    </w:p>
    <w:p w14:paraId="0D78CEEE" w14:textId="77777777" w:rsidR="007810D6" w:rsidRPr="007810D6" w:rsidRDefault="007810D6" w:rsidP="007810D6">
      <w:pPr>
        <w:pStyle w:val="Prrafodelista"/>
        <w:numPr>
          <w:ilvl w:val="0"/>
          <w:numId w:val="11"/>
        </w:numPr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 xml:space="preserve">en revistas españolas que aparezcan en IN-RECS (Revistas Españolas de Ciencias Sociales) o IN-RECJ (Revistas Españolas de Ciencias Jurídicas) 1 p. Se considerarán siempre que cumplan todos los criterios. </w:t>
      </w:r>
    </w:p>
    <w:p w14:paraId="6EA73522" w14:textId="77777777" w:rsidR="007810D6" w:rsidRPr="007810D6" w:rsidRDefault="007810D6" w:rsidP="007810D6">
      <w:pPr>
        <w:pStyle w:val="Prrafodelista"/>
        <w:numPr>
          <w:ilvl w:val="0"/>
          <w:numId w:val="11"/>
        </w:numPr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en revistas españolas que aparezcan en DICE (Difusión y Calidad Editorial de las Revistas Españolas de Humanidades y Ciencias Sociales y Jurídicas) 1 p. Se considerarán siempre que cumplan todos los criterios.</w:t>
      </w:r>
    </w:p>
    <w:p w14:paraId="1FAE4DCB" w14:textId="77777777" w:rsidR="007810D6" w:rsidRPr="007810D6" w:rsidRDefault="007810D6" w:rsidP="007810D6">
      <w:pPr>
        <w:pStyle w:val="Prrafodelista"/>
        <w:numPr>
          <w:ilvl w:val="0"/>
          <w:numId w:val="10"/>
        </w:numPr>
        <w:spacing w:after="16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 xml:space="preserve">en otras revistas: hasta 0,2 p, considerándolos en conjunto y no superando la puntuación de 2p. </w:t>
      </w:r>
    </w:p>
    <w:p w14:paraId="7CEB22B5" w14:textId="77777777" w:rsidR="007810D6" w:rsidRPr="007810D6" w:rsidRDefault="007810D6" w:rsidP="007810D6">
      <w:pPr>
        <w:ind w:left="284"/>
        <w:rPr>
          <w:rFonts w:cs="Arial"/>
          <w:sz w:val="20"/>
          <w:szCs w:val="20"/>
        </w:rPr>
      </w:pPr>
      <w:r w:rsidRPr="007810D6">
        <w:rPr>
          <w:rFonts w:cs="Arial"/>
          <w:sz w:val="20"/>
          <w:szCs w:val="20"/>
        </w:rPr>
        <w:t>Se podrán aplicar moduladores en función de la posición de la revista en los repertorios, y de la posición del solicitante entre los firmantes.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317"/>
      </w:tblGrid>
      <w:tr w:rsidR="007810D6" w:rsidRPr="007810D6" w14:paraId="626DD8D7" w14:textId="77777777" w:rsidTr="00E4043A">
        <w:trPr>
          <w:jc w:val="center"/>
        </w:trPr>
        <w:tc>
          <w:tcPr>
            <w:tcW w:w="3397" w:type="dxa"/>
            <w:shd w:val="clear" w:color="auto" w:fill="D9D9D9"/>
          </w:tcPr>
          <w:p w14:paraId="639F8245" w14:textId="77777777" w:rsidR="007810D6" w:rsidRPr="007810D6" w:rsidRDefault="007810D6" w:rsidP="007810D6">
            <w:pPr>
              <w:ind w:left="284"/>
              <w:rPr>
                <w:rFonts w:cs="Arial"/>
                <w:b/>
                <w:sz w:val="20"/>
                <w:szCs w:val="20"/>
              </w:rPr>
            </w:pPr>
            <w:r w:rsidRPr="007810D6">
              <w:rPr>
                <w:rFonts w:cs="Arial"/>
                <w:b/>
                <w:sz w:val="20"/>
                <w:szCs w:val="20"/>
              </w:rPr>
              <w:t>Posición de la revista*</w:t>
            </w:r>
          </w:p>
        </w:tc>
        <w:tc>
          <w:tcPr>
            <w:tcW w:w="2317" w:type="dxa"/>
            <w:shd w:val="clear" w:color="auto" w:fill="D9D9D9"/>
          </w:tcPr>
          <w:p w14:paraId="79558F78" w14:textId="77777777" w:rsidR="007810D6" w:rsidRPr="007810D6" w:rsidRDefault="007810D6" w:rsidP="007810D6">
            <w:pPr>
              <w:ind w:left="284"/>
              <w:rPr>
                <w:rFonts w:cs="Arial"/>
                <w:b/>
                <w:sz w:val="20"/>
                <w:szCs w:val="20"/>
              </w:rPr>
            </w:pPr>
            <w:r w:rsidRPr="007810D6">
              <w:rPr>
                <w:rFonts w:cs="Arial"/>
                <w:b/>
                <w:sz w:val="20"/>
                <w:szCs w:val="20"/>
              </w:rPr>
              <w:t>Modulador</w:t>
            </w:r>
          </w:p>
        </w:tc>
      </w:tr>
      <w:tr w:rsidR="007810D6" w:rsidRPr="007810D6" w14:paraId="1D3B4DF5" w14:textId="77777777" w:rsidTr="00E4043A">
        <w:trPr>
          <w:jc w:val="center"/>
        </w:trPr>
        <w:tc>
          <w:tcPr>
            <w:tcW w:w="3397" w:type="dxa"/>
            <w:shd w:val="clear" w:color="auto" w:fill="auto"/>
          </w:tcPr>
          <w:p w14:paraId="2B249FD3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1º decil</w:t>
            </w:r>
          </w:p>
        </w:tc>
        <w:tc>
          <w:tcPr>
            <w:tcW w:w="2317" w:type="dxa"/>
            <w:shd w:val="clear" w:color="auto" w:fill="auto"/>
          </w:tcPr>
          <w:p w14:paraId="371434D3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2,5</w:t>
            </w:r>
          </w:p>
        </w:tc>
      </w:tr>
      <w:tr w:rsidR="007810D6" w:rsidRPr="007810D6" w14:paraId="6C9DB2B9" w14:textId="77777777" w:rsidTr="00E4043A">
        <w:trPr>
          <w:jc w:val="center"/>
        </w:trPr>
        <w:tc>
          <w:tcPr>
            <w:tcW w:w="3397" w:type="dxa"/>
            <w:shd w:val="clear" w:color="auto" w:fill="auto"/>
          </w:tcPr>
          <w:p w14:paraId="072A788A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1º cuartil</w:t>
            </w:r>
          </w:p>
        </w:tc>
        <w:tc>
          <w:tcPr>
            <w:tcW w:w="2317" w:type="dxa"/>
            <w:shd w:val="clear" w:color="auto" w:fill="auto"/>
          </w:tcPr>
          <w:p w14:paraId="035EF305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2</w:t>
            </w:r>
          </w:p>
        </w:tc>
      </w:tr>
      <w:tr w:rsidR="007810D6" w:rsidRPr="007810D6" w14:paraId="7184B287" w14:textId="77777777" w:rsidTr="00E4043A">
        <w:trPr>
          <w:jc w:val="center"/>
        </w:trPr>
        <w:tc>
          <w:tcPr>
            <w:tcW w:w="3397" w:type="dxa"/>
            <w:shd w:val="clear" w:color="auto" w:fill="auto"/>
          </w:tcPr>
          <w:p w14:paraId="78DE4DFA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2º cuartil</w:t>
            </w:r>
          </w:p>
        </w:tc>
        <w:tc>
          <w:tcPr>
            <w:tcW w:w="2317" w:type="dxa"/>
            <w:shd w:val="clear" w:color="auto" w:fill="auto"/>
          </w:tcPr>
          <w:p w14:paraId="036269E2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1</w:t>
            </w:r>
          </w:p>
        </w:tc>
      </w:tr>
      <w:tr w:rsidR="007810D6" w:rsidRPr="007810D6" w14:paraId="764B818A" w14:textId="77777777" w:rsidTr="00E4043A">
        <w:trPr>
          <w:jc w:val="center"/>
        </w:trPr>
        <w:tc>
          <w:tcPr>
            <w:tcW w:w="3397" w:type="dxa"/>
            <w:shd w:val="clear" w:color="auto" w:fill="auto"/>
          </w:tcPr>
          <w:p w14:paraId="0AC1E46D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3º cuartil</w:t>
            </w:r>
          </w:p>
        </w:tc>
        <w:tc>
          <w:tcPr>
            <w:tcW w:w="2317" w:type="dxa"/>
            <w:shd w:val="clear" w:color="auto" w:fill="auto"/>
          </w:tcPr>
          <w:p w14:paraId="4B64D4FB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0,75</w:t>
            </w:r>
          </w:p>
        </w:tc>
      </w:tr>
      <w:tr w:rsidR="007810D6" w:rsidRPr="007810D6" w14:paraId="6AA7743A" w14:textId="77777777" w:rsidTr="00E4043A">
        <w:trPr>
          <w:jc w:val="center"/>
        </w:trPr>
        <w:tc>
          <w:tcPr>
            <w:tcW w:w="3397" w:type="dxa"/>
            <w:shd w:val="clear" w:color="auto" w:fill="auto"/>
          </w:tcPr>
          <w:p w14:paraId="49B57B9A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4º cuartil</w:t>
            </w:r>
          </w:p>
        </w:tc>
        <w:tc>
          <w:tcPr>
            <w:tcW w:w="2317" w:type="dxa"/>
            <w:shd w:val="clear" w:color="auto" w:fill="auto"/>
          </w:tcPr>
          <w:p w14:paraId="52538F26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0,5</w:t>
            </w:r>
          </w:p>
        </w:tc>
      </w:tr>
    </w:tbl>
    <w:p w14:paraId="3522C397" w14:textId="77777777" w:rsidR="007810D6" w:rsidRPr="007810D6" w:rsidRDefault="007810D6" w:rsidP="007810D6">
      <w:pPr>
        <w:ind w:left="284"/>
        <w:rPr>
          <w:rFonts w:cs="Arial"/>
          <w:sz w:val="20"/>
          <w:szCs w:val="20"/>
        </w:rPr>
      </w:pPr>
    </w:p>
    <w:p w14:paraId="11B64EA0" w14:textId="77777777" w:rsidR="007810D6" w:rsidRPr="007810D6" w:rsidRDefault="007810D6" w:rsidP="007810D6">
      <w:pPr>
        <w:ind w:left="284"/>
        <w:rPr>
          <w:rFonts w:cs="Arial"/>
          <w:sz w:val="20"/>
          <w:szCs w:val="20"/>
          <w:shd w:val="clear" w:color="auto" w:fill="FFFFFF"/>
        </w:rPr>
      </w:pPr>
      <w:r w:rsidRPr="007810D6">
        <w:rPr>
          <w:rFonts w:cs="Arial"/>
          <w:sz w:val="20"/>
          <w:szCs w:val="20"/>
        </w:rPr>
        <w:t xml:space="preserve">*Esta clasificación es a modo de ejemplo, se utilizarán las distintas categorías de clasificación según los repertorios.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17"/>
      </w:tblGrid>
      <w:tr w:rsidR="007810D6" w:rsidRPr="007810D6" w14:paraId="450D0BC3" w14:textId="77777777" w:rsidTr="00E4043A">
        <w:tc>
          <w:tcPr>
            <w:tcW w:w="5103" w:type="dxa"/>
            <w:shd w:val="clear" w:color="auto" w:fill="D9D9D9"/>
          </w:tcPr>
          <w:p w14:paraId="19F310A4" w14:textId="77777777" w:rsidR="007810D6" w:rsidRPr="007810D6" w:rsidRDefault="007810D6" w:rsidP="007810D6">
            <w:pPr>
              <w:ind w:left="284"/>
              <w:rPr>
                <w:rFonts w:cs="Arial"/>
                <w:b/>
                <w:sz w:val="20"/>
                <w:szCs w:val="20"/>
              </w:rPr>
            </w:pPr>
            <w:r w:rsidRPr="007810D6">
              <w:rPr>
                <w:rFonts w:cs="Arial"/>
                <w:b/>
                <w:sz w:val="20"/>
                <w:szCs w:val="20"/>
              </w:rPr>
              <w:t>Posición de los firmantes</w:t>
            </w:r>
          </w:p>
        </w:tc>
        <w:tc>
          <w:tcPr>
            <w:tcW w:w="2317" w:type="dxa"/>
            <w:shd w:val="clear" w:color="auto" w:fill="D9D9D9"/>
          </w:tcPr>
          <w:p w14:paraId="1CD2261E" w14:textId="77777777" w:rsidR="007810D6" w:rsidRPr="007810D6" w:rsidRDefault="007810D6" w:rsidP="007810D6">
            <w:pPr>
              <w:ind w:left="284"/>
              <w:rPr>
                <w:rFonts w:cs="Arial"/>
                <w:b/>
                <w:sz w:val="20"/>
                <w:szCs w:val="20"/>
              </w:rPr>
            </w:pPr>
            <w:r w:rsidRPr="007810D6">
              <w:rPr>
                <w:rFonts w:cs="Arial"/>
                <w:b/>
                <w:sz w:val="20"/>
                <w:szCs w:val="20"/>
              </w:rPr>
              <w:t>Modulador</w:t>
            </w:r>
          </w:p>
        </w:tc>
      </w:tr>
      <w:tr w:rsidR="007810D6" w:rsidRPr="007810D6" w14:paraId="1C28DC4C" w14:textId="77777777" w:rsidTr="00E4043A">
        <w:tc>
          <w:tcPr>
            <w:tcW w:w="5103" w:type="dxa"/>
            <w:shd w:val="clear" w:color="auto" w:fill="auto"/>
          </w:tcPr>
          <w:p w14:paraId="208920E4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Autor preferente: primer y último autor</w:t>
            </w:r>
          </w:p>
        </w:tc>
        <w:tc>
          <w:tcPr>
            <w:tcW w:w="2317" w:type="dxa"/>
            <w:shd w:val="clear" w:color="auto" w:fill="auto"/>
          </w:tcPr>
          <w:p w14:paraId="47BF97A1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1</w:t>
            </w:r>
          </w:p>
        </w:tc>
      </w:tr>
      <w:tr w:rsidR="007810D6" w:rsidRPr="007810D6" w14:paraId="40982919" w14:textId="77777777" w:rsidTr="00E4043A">
        <w:tc>
          <w:tcPr>
            <w:tcW w:w="5103" w:type="dxa"/>
            <w:shd w:val="clear" w:color="auto" w:fill="auto"/>
          </w:tcPr>
          <w:p w14:paraId="66981D28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Autor de correspondencia</w:t>
            </w:r>
          </w:p>
        </w:tc>
        <w:tc>
          <w:tcPr>
            <w:tcW w:w="2317" w:type="dxa"/>
            <w:shd w:val="clear" w:color="auto" w:fill="auto"/>
          </w:tcPr>
          <w:p w14:paraId="74A387A8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1</w:t>
            </w:r>
          </w:p>
        </w:tc>
      </w:tr>
      <w:tr w:rsidR="007810D6" w:rsidRPr="007810D6" w14:paraId="029855B5" w14:textId="77777777" w:rsidTr="00E4043A">
        <w:tc>
          <w:tcPr>
            <w:tcW w:w="5103" w:type="dxa"/>
            <w:shd w:val="clear" w:color="auto" w:fill="auto"/>
          </w:tcPr>
          <w:p w14:paraId="286D81AB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Otra posición</w:t>
            </w:r>
          </w:p>
        </w:tc>
        <w:tc>
          <w:tcPr>
            <w:tcW w:w="2317" w:type="dxa"/>
            <w:shd w:val="clear" w:color="auto" w:fill="auto"/>
          </w:tcPr>
          <w:p w14:paraId="0C1451F2" w14:textId="77777777" w:rsidR="007810D6" w:rsidRPr="007810D6" w:rsidRDefault="007810D6" w:rsidP="007810D6">
            <w:pPr>
              <w:ind w:left="284"/>
              <w:rPr>
                <w:rFonts w:cs="Arial"/>
                <w:sz w:val="20"/>
                <w:szCs w:val="20"/>
              </w:rPr>
            </w:pPr>
            <w:r w:rsidRPr="007810D6">
              <w:rPr>
                <w:rFonts w:cs="Arial"/>
                <w:sz w:val="20"/>
                <w:szCs w:val="20"/>
              </w:rPr>
              <w:t>0,75</w:t>
            </w:r>
          </w:p>
        </w:tc>
      </w:tr>
    </w:tbl>
    <w:p w14:paraId="291CBB59" w14:textId="77777777" w:rsidR="007810D6" w:rsidRPr="007810D6" w:rsidRDefault="007810D6" w:rsidP="007810D6">
      <w:pPr>
        <w:ind w:left="284"/>
        <w:rPr>
          <w:rFonts w:cs="Arial"/>
          <w:sz w:val="20"/>
          <w:szCs w:val="20"/>
        </w:rPr>
      </w:pPr>
    </w:p>
    <w:p w14:paraId="4E4C20D2" w14:textId="77777777" w:rsidR="007810D6" w:rsidRPr="007810D6" w:rsidRDefault="007810D6" w:rsidP="007810D6">
      <w:pPr>
        <w:spacing w:after="200"/>
        <w:ind w:left="284"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 xml:space="preserve">1.2 Libros, capítulos de libros, traducciones, etc.  </w:t>
      </w:r>
    </w:p>
    <w:p w14:paraId="599400D0" w14:textId="77777777" w:rsidR="007810D6" w:rsidRPr="007810D6" w:rsidRDefault="007810D6" w:rsidP="007810D6">
      <w:pPr>
        <w:spacing w:after="200"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     La puntuación será la siguiente: </w:t>
      </w:r>
    </w:p>
    <w:p w14:paraId="1DF01451" w14:textId="077D8E8A" w:rsidR="007810D6" w:rsidRPr="007810D6" w:rsidRDefault="007810D6" w:rsidP="007810D6">
      <w:pPr>
        <w:spacing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     - Por cada libro o monografía: hasta 6 p en función de las caracter</w:t>
      </w:r>
      <w:r>
        <w:rPr>
          <w:rFonts w:cs="Arial"/>
          <w:sz w:val="20"/>
          <w:szCs w:val="20"/>
          <w:lang w:eastAsia="en-US"/>
        </w:rPr>
        <w:t>í</w:t>
      </w:r>
      <w:r w:rsidRPr="007810D6">
        <w:rPr>
          <w:rFonts w:cs="Arial"/>
          <w:sz w:val="20"/>
          <w:szCs w:val="20"/>
          <w:lang w:eastAsia="en-US"/>
        </w:rPr>
        <w:t xml:space="preserve">sticas del documento.  </w:t>
      </w:r>
    </w:p>
    <w:p w14:paraId="1E48185B" w14:textId="77777777" w:rsidR="007810D6" w:rsidRPr="007810D6" w:rsidRDefault="007810D6" w:rsidP="007810D6">
      <w:pPr>
        <w:spacing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     - Por cada capítulo: hasta 1,5 p. (máximo 3 capítulos por libro).  </w:t>
      </w:r>
    </w:p>
    <w:p w14:paraId="4EDB25FC" w14:textId="77777777" w:rsidR="007810D6" w:rsidRPr="007810D6" w:rsidRDefault="007810D6" w:rsidP="007810D6">
      <w:pPr>
        <w:spacing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     - Por cada traducción, compilación o edición anotada: hasta 1 p.  </w:t>
      </w:r>
    </w:p>
    <w:p w14:paraId="484D26F6" w14:textId="77777777" w:rsidR="007810D6" w:rsidRPr="007810D6" w:rsidRDefault="007810D6" w:rsidP="007810D6">
      <w:pPr>
        <w:spacing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     -  Otros: hasta 0,5 p. como máximo.  </w:t>
      </w:r>
    </w:p>
    <w:p w14:paraId="52DC9338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>A la puntuación anterior se podrán aplicar moduladores en función de los criterios de calidad de la publicación, de la inclusión en el repertorio SPI (</w:t>
      </w:r>
      <w:proofErr w:type="spellStart"/>
      <w:r w:rsidRPr="007810D6">
        <w:rPr>
          <w:rFonts w:cs="Arial"/>
          <w:sz w:val="20"/>
          <w:szCs w:val="20"/>
          <w:lang w:eastAsia="en-US"/>
        </w:rPr>
        <w:t>Scholarly</w:t>
      </w:r>
      <w:proofErr w:type="spellEnd"/>
      <w:r w:rsidRPr="007810D6">
        <w:rPr>
          <w:rFonts w:cs="Arial"/>
          <w:sz w:val="20"/>
          <w:szCs w:val="20"/>
          <w:lang w:eastAsia="en-US"/>
        </w:rPr>
        <w:t xml:space="preserve"> </w:t>
      </w:r>
      <w:proofErr w:type="spellStart"/>
      <w:r w:rsidRPr="007810D6">
        <w:rPr>
          <w:rFonts w:cs="Arial"/>
          <w:sz w:val="20"/>
          <w:szCs w:val="20"/>
          <w:lang w:eastAsia="en-US"/>
        </w:rPr>
        <w:t>Publishers</w:t>
      </w:r>
      <w:proofErr w:type="spellEnd"/>
      <w:r w:rsidRPr="007810D6">
        <w:rPr>
          <w:rFonts w:cs="Arial"/>
          <w:sz w:val="20"/>
          <w:szCs w:val="20"/>
          <w:lang w:eastAsia="en-US"/>
        </w:rPr>
        <w:t xml:space="preserve"> </w:t>
      </w:r>
      <w:proofErr w:type="spellStart"/>
      <w:r w:rsidRPr="007810D6">
        <w:rPr>
          <w:rFonts w:cs="Arial"/>
          <w:sz w:val="20"/>
          <w:szCs w:val="20"/>
          <w:lang w:eastAsia="en-US"/>
        </w:rPr>
        <w:t>Indicators</w:t>
      </w:r>
      <w:proofErr w:type="spellEnd"/>
      <w:r w:rsidRPr="007810D6">
        <w:rPr>
          <w:rFonts w:cs="Arial"/>
          <w:sz w:val="20"/>
          <w:szCs w:val="20"/>
          <w:lang w:eastAsia="en-US"/>
        </w:rPr>
        <w:t xml:space="preserve">) y de la posición del solicitante entre los firmantes, a decisión de la comisión. </w:t>
      </w:r>
    </w:p>
    <w:p w14:paraId="73089BBD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En cualquier caso, se tendrá en cuenta lo siguiente: </w:t>
      </w:r>
    </w:p>
    <w:p w14:paraId="2C4B9E0B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Quedan expresamente excluidos de la valoración en este apartado los volúmenes que recojan las actas de congresos y los trabajos contenidos en las actas de congresos. </w:t>
      </w:r>
    </w:p>
    <w:p w14:paraId="6BFAD38D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No se valorará como libro la publicación de la Tesis Doctoral. </w:t>
      </w:r>
    </w:p>
    <w:p w14:paraId="1092B3F9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En el campo de las Ciencias Jurídicas no se valorarán como libros o capítulos de libro las recopilaciones legislativas y/o jurisprudenciales, así como sus combinaciones. </w:t>
      </w:r>
    </w:p>
    <w:p w14:paraId="670F12B9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En el campo de las Humanidades, en el ámbito filológico, serán valoradas también en este apartado las ediciones críticas acompañadas del aparato de variantes textuales, del pertinente análisis </w:t>
      </w:r>
      <w:proofErr w:type="spellStart"/>
      <w:r w:rsidRPr="007810D6">
        <w:rPr>
          <w:rFonts w:cs="Arial"/>
          <w:sz w:val="20"/>
          <w:szCs w:val="20"/>
          <w:lang w:eastAsia="en-US"/>
        </w:rPr>
        <w:t>codicológico</w:t>
      </w:r>
      <w:proofErr w:type="spellEnd"/>
      <w:r w:rsidRPr="007810D6">
        <w:rPr>
          <w:rFonts w:cs="Arial"/>
          <w:sz w:val="20"/>
          <w:szCs w:val="20"/>
          <w:lang w:eastAsia="en-US"/>
        </w:rPr>
        <w:t xml:space="preserve"> y de un estudio razonado de la fijación del texto, con las notas al mismo. </w:t>
      </w:r>
    </w:p>
    <w:p w14:paraId="484E370C" w14:textId="77777777" w:rsidR="007810D6" w:rsidRPr="007810D6" w:rsidRDefault="007810D6" w:rsidP="007810D6">
      <w:pPr>
        <w:spacing w:after="200"/>
        <w:ind w:left="284"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 xml:space="preserve">1.3. Producción artística </w:t>
      </w:r>
      <w:r w:rsidRPr="007810D6">
        <w:rPr>
          <w:rFonts w:cs="Arial"/>
          <w:sz w:val="20"/>
          <w:szCs w:val="20"/>
          <w:lang w:eastAsia="en-US"/>
        </w:rPr>
        <w:t>(solo para las plazas de Bellas Artes y áreas de conocimiento relacionadas)</w:t>
      </w:r>
    </w:p>
    <w:p w14:paraId="7BA29A27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1.3.1. Exposiciones, festivales y certámenes de reconocido prestigio (según la categoría de la sala de exposiciones y el número de citas/referencias de la exposición en revistas relevantes): </w:t>
      </w:r>
    </w:p>
    <w:p w14:paraId="2800BF5C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Individual: hasta 6 p. </w:t>
      </w:r>
    </w:p>
    <w:p w14:paraId="3FB9E332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Colectiva, ámbito internacional: hasta 2 p. </w:t>
      </w:r>
    </w:p>
    <w:p w14:paraId="594DC689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Colectiva, ámbito nacional: hasta 1,5 p. </w:t>
      </w:r>
    </w:p>
    <w:p w14:paraId="17C659A7" w14:textId="77777777" w:rsidR="007810D6" w:rsidRPr="007810D6" w:rsidRDefault="007810D6" w:rsidP="007810D6">
      <w:pPr>
        <w:spacing w:after="200"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1.3.2. Otros eventos artísticos e intervenciones monumentales de reconocido prestigio. Hasta 1 p. </w:t>
      </w:r>
    </w:p>
    <w:p w14:paraId="2F6A1404" w14:textId="77777777" w:rsidR="007810D6" w:rsidRPr="007810D6" w:rsidRDefault="007810D6" w:rsidP="007810D6">
      <w:pPr>
        <w:spacing w:after="200"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1.3.3. Difusión de los resultados de creación artística: publicaciones artísticas. </w:t>
      </w:r>
    </w:p>
    <w:p w14:paraId="138EA7B6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Catálogos con ISBN: hasta 3 p.  </w:t>
      </w:r>
    </w:p>
    <w:p w14:paraId="62C4A4D1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Otros catálogos: hasta 2 p.  </w:t>
      </w:r>
    </w:p>
    <w:p w14:paraId="2CF3CC81" w14:textId="77777777" w:rsidR="007810D6" w:rsidRPr="007810D6" w:rsidRDefault="007810D6" w:rsidP="007810D6">
      <w:pPr>
        <w:spacing w:after="200"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1.3.4. Premios de prestigio reconocido. Hasta 2 p. </w:t>
      </w:r>
    </w:p>
    <w:p w14:paraId="1FF93DE4" w14:textId="77777777" w:rsidR="007810D6" w:rsidRPr="007810D6" w:rsidRDefault="007810D6" w:rsidP="007810D6">
      <w:pPr>
        <w:spacing w:after="200"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1.3.5. Diseños </w:t>
      </w:r>
    </w:p>
    <w:p w14:paraId="37C8232E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Catálogos: hasta 2 p. </w:t>
      </w:r>
    </w:p>
    <w:p w14:paraId="13FA5CE7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Portadas de libros, logotipos y anagramas, carteles: hasta 1 p. </w:t>
      </w:r>
    </w:p>
    <w:p w14:paraId="06CABE72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Ilustraciones:  </w:t>
      </w:r>
    </w:p>
    <w:p w14:paraId="2AF8DB8E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     - Libro completo: hasta 2 p. </w:t>
      </w:r>
    </w:p>
    <w:p w14:paraId="280B9CA5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     - Artículo o capítulo de libro: hasta 1 p. </w:t>
      </w:r>
    </w:p>
    <w:p w14:paraId="60853969" w14:textId="77777777" w:rsidR="007810D6" w:rsidRPr="007810D6" w:rsidRDefault="007810D6" w:rsidP="007810D6">
      <w:pPr>
        <w:spacing w:after="200" w:line="240" w:lineRule="atLeast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1.3.6. Comisariados y miembro de jurados </w:t>
      </w:r>
    </w:p>
    <w:p w14:paraId="71F85851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Comisariados: hasta 2 p. </w:t>
      </w:r>
    </w:p>
    <w:p w14:paraId="5F612032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Miembro jurado: hasta 0,5 p. </w:t>
      </w:r>
    </w:p>
    <w:p w14:paraId="2C1D1946" w14:textId="77777777" w:rsidR="007810D6" w:rsidRPr="007810D6" w:rsidRDefault="007810D6" w:rsidP="007810D6">
      <w:pPr>
        <w:spacing w:line="240" w:lineRule="atLeast"/>
        <w:ind w:left="720"/>
        <w:contextualSpacing/>
        <w:rPr>
          <w:rFonts w:cs="Arial"/>
          <w:sz w:val="20"/>
          <w:szCs w:val="20"/>
          <w:lang w:eastAsia="en-US"/>
        </w:rPr>
      </w:pPr>
    </w:p>
    <w:p w14:paraId="735F569D" w14:textId="77777777" w:rsidR="007810D6" w:rsidRPr="007810D6" w:rsidRDefault="007810D6" w:rsidP="007810D6">
      <w:pPr>
        <w:spacing w:after="20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>Para valorar los méritos de producción artística se adjuntarán preferiblemente las referencias en páginas web de divulgación científica.</w:t>
      </w:r>
    </w:p>
    <w:p w14:paraId="2B8AAA1D" w14:textId="4DFBA9BA" w:rsidR="007810D6" w:rsidRPr="007810D6" w:rsidRDefault="007810D6" w:rsidP="007810D6">
      <w:pPr>
        <w:ind w:left="284"/>
        <w:rPr>
          <w:rFonts w:cs="Arial"/>
          <w:sz w:val="20"/>
          <w:szCs w:val="20"/>
          <w:lang w:eastAsia="en-US"/>
        </w:rPr>
      </w:pPr>
    </w:p>
    <w:p w14:paraId="01ACF5BA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  <w:r w:rsidRPr="007810D6">
        <w:rPr>
          <w:rFonts w:ascii="IBM Plex Sans" w:hAnsi="IBM Plex Sans"/>
          <w:b/>
          <w:bCs/>
          <w:color w:val="auto"/>
          <w:sz w:val="20"/>
          <w:szCs w:val="20"/>
        </w:rPr>
        <w:t xml:space="preserve">2. EXPERIENCIA INVESTIGADORA </w:t>
      </w:r>
    </w:p>
    <w:p w14:paraId="4B9EBE48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</w:p>
    <w:p w14:paraId="23F6BC21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color w:val="auto"/>
          <w:sz w:val="20"/>
          <w:szCs w:val="20"/>
        </w:rPr>
      </w:pPr>
      <w:r w:rsidRPr="007810D6">
        <w:rPr>
          <w:rFonts w:ascii="IBM Plex Sans" w:hAnsi="IBM Plex Sans"/>
          <w:b/>
          <w:color w:val="auto"/>
          <w:sz w:val="20"/>
          <w:szCs w:val="20"/>
        </w:rPr>
        <w:t>2.1.    Financiación de la investigación ajena a la Universidad</w:t>
      </w:r>
    </w:p>
    <w:p w14:paraId="4B9C0E03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 xml:space="preserve">Sólo se valorarán los proyectos de investigación o contratos con un mínimo de 6.000 € obtenidos para financiar la investigación. Es imprescindible presentar un certificado de financiación emitido por el organismo que concede la financiación, o por el Órgano competente del Rectorado de la correspondiente universidad. Dicho certificado debe contener: nombre del investigador principal o responsable, nombre del candidato como miembro del proyecto o contrato, fechas de inicio y finalización del proyecto o contrato, y subvención económica concedida tal y como se recoge en el documento “Hace constar” expedido por la aplicación de </w:t>
      </w:r>
      <w:r w:rsidRPr="007810D6">
        <w:rPr>
          <w:rFonts w:ascii="IBM Plex Sans" w:hAnsi="IBM Plex Sans"/>
          <w:b/>
          <w:color w:val="auto"/>
          <w:sz w:val="20"/>
          <w:szCs w:val="20"/>
        </w:rPr>
        <w:t>Página V3</w:t>
      </w:r>
      <w:r w:rsidRPr="007810D6">
        <w:rPr>
          <w:rFonts w:ascii="IBM Plex Sans" w:hAnsi="IBM Plex Sans"/>
          <w:color w:val="auto"/>
          <w:sz w:val="20"/>
          <w:szCs w:val="20"/>
        </w:rPr>
        <w:t>.</w:t>
      </w:r>
    </w:p>
    <w:p w14:paraId="3CD262A1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</w:p>
    <w:p w14:paraId="6E1E96A6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strike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2.1.1. Proyectos de investigación financiados por entidades públicas o privadas en convocatorias competitivas, sometidos a evaluación externa. Por cada proyecto se obtendrá 1 punto que se multiplicará por los siguientes moduladores:</w:t>
      </w:r>
    </w:p>
    <w:p w14:paraId="2686482E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strike/>
          <w:color w:val="auto"/>
          <w:sz w:val="20"/>
          <w:szCs w:val="20"/>
        </w:rPr>
      </w:pPr>
    </w:p>
    <w:p w14:paraId="088BD984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  <w:r w:rsidRPr="007810D6">
        <w:rPr>
          <w:rFonts w:ascii="IBM Plex Sans" w:hAnsi="IBM Plex Sans"/>
          <w:b/>
          <w:bCs/>
          <w:color w:val="auto"/>
          <w:sz w:val="20"/>
          <w:szCs w:val="20"/>
        </w:rPr>
        <w:t>Modulador 1:</w:t>
      </w:r>
    </w:p>
    <w:p w14:paraId="78245765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Para proyectos internacionales: 1,5 puntos/año</w:t>
      </w:r>
    </w:p>
    <w:p w14:paraId="2539B19C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Para proyectos nacionales: 1 puntos/año</w:t>
      </w:r>
    </w:p>
    <w:p w14:paraId="315F6126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Para proyectos regionales: 0,75 puntos/años</w:t>
      </w:r>
    </w:p>
    <w:p w14:paraId="331EC07A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</w:p>
    <w:p w14:paraId="3DCAE1B6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  <w:r w:rsidRPr="007810D6">
        <w:rPr>
          <w:rFonts w:ascii="IBM Plex Sans" w:hAnsi="IBM Plex Sans"/>
          <w:b/>
          <w:bCs/>
          <w:color w:val="auto"/>
          <w:sz w:val="20"/>
          <w:szCs w:val="20"/>
        </w:rPr>
        <w:t>Modulador 2:</w:t>
      </w:r>
    </w:p>
    <w:p w14:paraId="2B41D158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Si la cuantía del proyecto se encuentra entre 100.000-300.000 € de subvención, el valor obtenido después de aplicar el modulador 1 se multiplicará por 1,2.</w:t>
      </w:r>
    </w:p>
    <w:p w14:paraId="1708E8B9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Si el proyecto supera los 300.000 €, el valor obtenido después de aplicar el modulador 1 se multiplicará por 1,5.</w:t>
      </w:r>
    </w:p>
    <w:p w14:paraId="4BD4CD2F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</w:p>
    <w:p w14:paraId="3DD064F5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  <w:r w:rsidRPr="007810D6">
        <w:rPr>
          <w:rFonts w:ascii="IBM Plex Sans" w:hAnsi="IBM Plex Sans"/>
          <w:b/>
          <w:bCs/>
          <w:color w:val="auto"/>
          <w:sz w:val="20"/>
          <w:szCs w:val="20"/>
        </w:rPr>
        <w:t>Modulador 3:</w:t>
      </w:r>
    </w:p>
    <w:p w14:paraId="7EBDDF85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Si el solicitante es Investigador principal se sumará a la puntuación total 3 p.</w:t>
      </w:r>
    </w:p>
    <w:p w14:paraId="5534ED52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 xml:space="preserve">2.1.2. Contratos firmados al amparo del art. 60 de la LOSU y convenios de investigación financiados por la administración pública o la empresa privada, se valorarán únicamente si demuestran su carácter de investigación capaz de generar conocimiento. No se tendrán en cuenta los contratos de carácter de asesoramiento y servicio, que no demuestren la realización de actividades de investigación. </w:t>
      </w:r>
    </w:p>
    <w:p w14:paraId="6A81544E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strike/>
          <w:color w:val="auto"/>
          <w:sz w:val="20"/>
          <w:szCs w:val="20"/>
        </w:rPr>
      </w:pPr>
    </w:p>
    <w:p w14:paraId="7E8C154A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  <w:r w:rsidRPr="007810D6">
        <w:rPr>
          <w:rFonts w:ascii="IBM Plex Sans" w:hAnsi="IBM Plex Sans"/>
          <w:b/>
          <w:bCs/>
          <w:color w:val="auto"/>
          <w:sz w:val="20"/>
          <w:szCs w:val="20"/>
        </w:rPr>
        <w:t>Modulador 1:</w:t>
      </w:r>
    </w:p>
    <w:p w14:paraId="5F19B9BB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- Para contratos con empresas internacionales: 1,5 puntos/año</w:t>
      </w:r>
    </w:p>
    <w:p w14:paraId="78F732E4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- Para contrato con empresas regionales y nacionales: 1 punto/año</w:t>
      </w:r>
    </w:p>
    <w:p w14:paraId="3E684D9D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</w:p>
    <w:p w14:paraId="3221CABA" w14:textId="77777777" w:rsid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</w:p>
    <w:p w14:paraId="42765262" w14:textId="22EB261C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  <w:r w:rsidRPr="007810D6">
        <w:rPr>
          <w:rFonts w:ascii="IBM Plex Sans" w:hAnsi="IBM Plex Sans"/>
          <w:b/>
          <w:bCs/>
          <w:color w:val="auto"/>
          <w:sz w:val="20"/>
          <w:szCs w:val="20"/>
        </w:rPr>
        <w:t>Modulador 2:</w:t>
      </w:r>
    </w:p>
    <w:p w14:paraId="504344FB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Si la cuantía del proyecto se encuentra entre 100.000-300.000 € de subvención, el valor obtenido después de aplicar el modulador 1 se multiplicará por 1,2.</w:t>
      </w:r>
    </w:p>
    <w:p w14:paraId="3FBA20AF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Si el proyecto supera los 300.000 €, el valor obtenido después de aplicar el modulador 1 se multiplicará por 1,5.</w:t>
      </w:r>
    </w:p>
    <w:p w14:paraId="6284A8B2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</w:p>
    <w:p w14:paraId="1648ADAD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bCs/>
          <w:color w:val="auto"/>
          <w:sz w:val="20"/>
          <w:szCs w:val="20"/>
        </w:rPr>
      </w:pPr>
      <w:r w:rsidRPr="007810D6">
        <w:rPr>
          <w:rFonts w:ascii="IBM Plex Sans" w:hAnsi="IBM Plex Sans"/>
          <w:b/>
          <w:bCs/>
          <w:color w:val="auto"/>
          <w:sz w:val="20"/>
          <w:szCs w:val="20"/>
        </w:rPr>
        <w:t>Modulador 3:</w:t>
      </w:r>
    </w:p>
    <w:p w14:paraId="7D3B86BB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Si el solicitante es Investigador principal se sumará a la puntuación total 3 p.</w:t>
      </w:r>
    </w:p>
    <w:p w14:paraId="6FACBFAC" w14:textId="77777777" w:rsidR="007810D6" w:rsidRPr="007810D6" w:rsidRDefault="007810D6" w:rsidP="007810D6">
      <w:pPr>
        <w:ind w:left="284"/>
        <w:jc w:val="left"/>
        <w:rPr>
          <w:rFonts w:eastAsia="Times New Roman" w:cs="Arial"/>
          <w:sz w:val="20"/>
          <w:szCs w:val="20"/>
          <w:lang w:eastAsia="es-ES"/>
        </w:rPr>
      </w:pPr>
    </w:p>
    <w:p w14:paraId="5142208B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color w:val="auto"/>
          <w:sz w:val="20"/>
          <w:szCs w:val="20"/>
        </w:rPr>
      </w:pPr>
      <w:r w:rsidRPr="007810D6">
        <w:rPr>
          <w:rFonts w:ascii="IBM Plex Sans" w:hAnsi="IBM Plex Sans"/>
          <w:b/>
          <w:color w:val="auto"/>
          <w:sz w:val="20"/>
          <w:szCs w:val="20"/>
        </w:rPr>
        <w:t>2.2. Tesis Doctorales.</w:t>
      </w:r>
    </w:p>
    <w:p w14:paraId="70E76676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color w:val="auto"/>
          <w:sz w:val="20"/>
          <w:szCs w:val="20"/>
        </w:rPr>
      </w:pPr>
    </w:p>
    <w:p w14:paraId="7852A145" w14:textId="77777777" w:rsidR="007810D6" w:rsidRPr="007810D6" w:rsidRDefault="007810D6" w:rsidP="007810D6">
      <w:pPr>
        <w:spacing w:line="240" w:lineRule="atLeast"/>
        <w:ind w:left="284"/>
        <w:contextualSpacing/>
        <w:rPr>
          <w:rFonts w:cs="Arial"/>
          <w:sz w:val="20"/>
          <w:szCs w:val="20"/>
        </w:rPr>
      </w:pPr>
      <w:r w:rsidRPr="007810D6">
        <w:rPr>
          <w:rFonts w:cs="Arial"/>
          <w:sz w:val="20"/>
          <w:szCs w:val="20"/>
        </w:rPr>
        <w:t>Tesis doctorales dirigidas (máximo 5 tesis): 1 punto por TD y si tiene “Mención europea o internacional” se añadirán 1 punto. En caso de codirección se reparte la puntuación recibida en función del número de directores.</w:t>
      </w:r>
    </w:p>
    <w:p w14:paraId="1501BD32" w14:textId="77777777" w:rsidR="007810D6" w:rsidRPr="007810D6" w:rsidRDefault="007810D6" w:rsidP="007810D6">
      <w:pPr>
        <w:ind w:left="284"/>
        <w:rPr>
          <w:rFonts w:cs="Arial"/>
          <w:sz w:val="20"/>
          <w:szCs w:val="20"/>
        </w:rPr>
      </w:pPr>
    </w:p>
    <w:p w14:paraId="7EC3D4A4" w14:textId="77777777" w:rsidR="007810D6" w:rsidRPr="007810D6" w:rsidRDefault="007810D6" w:rsidP="007810D6">
      <w:pPr>
        <w:spacing w:after="200"/>
        <w:ind w:left="284"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>3. INTERÉS CIENTIFICO DEL PROYECTO Y EL HISTORIAL DEL GRUPO RECEPTOR (Máximo: 10 p.)</w:t>
      </w:r>
      <w:r w:rsidRPr="007810D6">
        <w:rPr>
          <w:rFonts w:cs="Arial"/>
          <w:sz w:val="20"/>
          <w:szCs w:val="20"/>
          <w:lang w:eastAsia="en-US"/>
        </w:rPr>
        <w:t xml:space="preserve"> </w:t>
      </w:r>
    </w:p>
    <w:p w14:paraId="39C1A199" w14:textId="77777777" w:rsidR="007810D6" w:rsidRPr="007810D6" w:rsidRDefault="007810D6" w:rsidP="007810D6">
      <w:pPr>
        <w:widowControl w:val="0"/>
        <w:tabs>
          <w:tab w:val="left" w:pos="927"/>
        </w:tabs>
        <w:spacing w:after="120"/>
        <w:ind w:left="284"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>3.1. Interés científico del proyecto y viabilidad del proyecto en función del calendario establecido</w:t>
      </w:r>
    </w:p>
    <w:p w14:paraId="54613489" w14:textId="77777777" w:rsidR="007810D6" w:rsidRPr="007810D6" w:rsidRDefault="007810D6" w:rsidP="007810D6">
      <w:pPr>
        <w:widowControl w:val="0"/>
        <w:tabs>
          <w:tab w:val="left" w:pos="927"/>
        </w:tabs>
        <w:spacing w:after="120"/>
        <w:ind w:left="284"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>En este apartado se</w:t>
      </w:r>
      <w:r w:rsidRPr="007810D6">
        <w:rPr>
          <w:rFonts w:cs="Arial"/>
          <w:spacing w:val="-16"/>
          <w:sz w:val="20"/>
          <w:szCs w:val="20"/>
          <w:lang w:eastAsia="en-US"/>
        </w:rPr>
        <w:t xml:space="preserve"> </w:t>
      </w:r>
      <w:r w:rsidRPr="007810D6">
        <w:rPr>
          <w:rFonts w:cs="Arial"/>
          <w:sz w:val="20"/>
          <w:szCs w:val="20"/>
          <w:lang w:eastAsia="en-US"/>
        </w:rPr>
        <w:t>valorará:</w:t>
      </w:r>
    </w:p>
    <w:p w14:paraId="30295053" w14:textId="77777777" w:rsidR="007810D6" w:rsidRPr="007810D6" w:rsidRDefault="007810D6" w:rsidP="007810D6">
      <w:pPr>
        <w:pStyle w:val="Prrafodelista"/>
        <w:widowControl w:val="0"/>
        <w:numPr>
          <w:ilvl w:val="0"/>
          <w:numId w:val="16"/>
        </w:numPr>
        <w:spacing w:after="12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La concreción en la definición de objetivos y capacidad del solicitante y el grupo receptor, a la luz de su trayectoria investigadora, para llevar a cabo los objetivos propuestos e importancia para la internacionalización de la actividad del solicitante y del grupo, hasta 2,5puntos.</w:t>
      </w:r>
    </w:p>
    <w:p w14:paraId="3BFB50DA" w14:textId="77777777" w:rsidR="007810D6" w:rsidRPr="007810D6" w:rsidRDefault="007810D6" w:rsidP="007810D6">
      <w:pPr>
        <w:widowControl w:val="0"/>
        <w:numPr>
          <w:ilvl w:val="0"/>
          <w:numId w:val="16"/>
        </w:numPr>
        <w:spacing w:after="120" w:line="240" w:lineRule="auto"/>
        <w:ind w:left="284" w:right="0" w:firstLine="0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 xml:space="preserve">Descripción y viabilidad del plan de trabajo y la metodología, hasta 1,25 puntos. </w:t>
      </w:r>
    </w:p>
    <w:p w14:paraId="335986B9" w14:textId="77777777" w:rsidR="007810D6" w:rsidRPr="007810D6" w:rsidRDefault="007810D6" w:rsidP="007810D6">
      <w:pPr>
        <w:pStyle w:val="Prrafodelista"/>
        <w:widowControl w:val="0"/>
        <w:numPr>
          <w:ilvl w:val="0"/>
          <w:numId w:val="16"/>
        </w:numPr>
        <w:spacing w:after="12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Posibilidad de que la estancia suponga el inicio de una colaboración más estable entre los dos grupos de investigación, hasta 1,25</w:t>
      </w:r>
      <w:r w:rsidRPr="007810D6">
        <w:rPr>
          <w:rFonts w:ascii="IBM Plex Sans" w:hAnsi="IBM Plex Sans" w:cs="Arial"/>
          <w:spacing w:val="-12"/>
          <w:sz w:val="20"/>
          <w:szCs w:val="20"/>
        </w:rPr>
        <w:t xml:space="preserve"> </w:t>
      </w:r>
      <w:r w:rsidRPr="007810D6">
        <w:rPr>
          <w:rFonts w:ascii="IBM Plex Sans" w:hAnsi="IBM Plex Sans" w:cs="Arial"/>
          <w:sz w:val="20"/>
          <w:szCs w:val="20"/>
        </w:rPr>
        <w:t>puntos.</w:t>
      </w:r>
    </w:p>
    <w:p w14:paraId="0C9244A5" w14:textId="77777777" w:rsidR="007810D6" w:rsidRPr="007810D6" w:rsidRDefault="007810D6" w:rsidP="007810D6">
      <w:pPr>
        <w:widowControl w:val="0"/>
        <w:tabs>
          <w:tab w:val="left" w:pos="989"/>
        </w:tabs>
        <w:spacing w:after="120"/>
        <w:ind w:left="284"/>
        <w:rPr>
          <w:rFonts w:cs="Arial"/>
          <w:b/>
          <w:sz w:val="20"/>
          <w:szCs w:val="20"/>
          <w:lang w:eastAsia="en-US"/>
        </w:rPr>
      </w:pPr>
    </w:p>
    <w:p w14:paraId="626034D2" w14:textId="77777777" w:rsidR="007810D6" w:rsidRPr="007810D6" w:rsidRDefault="007810D6" w:rsidP="007810D6">
      <w:pPr>
        <w:widowControl w:val="0"/>
        <w:tabs>
          <w:tab w:val="left" w:pos="989"/>
        </w:tabs>
        <w:spacing w:after="120"/>
        <w:ind w:left="284"/>
        <w:contextualSpacing/>
        <w:rPr>
          <w:rFonts w:cs="Arial"/>
          <w:b/>
          <w:sz w:val="20"/>
          <w:szCs w:val="20"/>
          <w:lang w:eastAsia="en-US"/>
        </w:rPr>
      </w:pPr>
      <w:r w:rsidRPr="007810D6">
        <w:rPr>
          <w:rFonts w:cs="Arial"/>
          <w:b/>
          <w:sz w:val="20"/>
          <w:szCs w:val="20"/>
          <w:lang w:eastAsia="en-US"/>
        </w:rPr>
        <w:t xml:space="preserve">3.2. Historial científico del grupo receptor </w:t>
      </w:r>
    </w:p>
    <w:p w14:paraId="1FD7560D" w14:textId="77777777" w:rsidR="007810D6" w:rsidRPr="007810D6" w:rsidRDefault="007810D6" w:rsidP="007810D6">
      <w:pPr>
        <w:widowControl w:val="0"/>
        <w:tabs>
          <w:tab w:val="left" w:pos="989"/>
        </w:tabs>
        <w:spacing w:after="120"/>
        <w:ind w:left="284"/>
        <w:contextualSpacing/>
        <w:rPr>
          <w:rFonts w:cs="Arial"/>
          <w:sz w:val="20"/>
          <w:szCs w:val="20"/>
          <w:lang w:eastAsia="en-US"/>
        </w:rPr>
      </w:pPr>
      <w:r w:rsidRPr="007810D6">
        <w:rPr>
          <w:rFonts w:cs="Arial"/>
          <w:sz w:val="20"/>
          <w:szCs w:val="20"/>
          <w:lang w:eastAsia="en-US"/>
        </w:rPr>
        <w:t>En este apartado se</w:t>
      </w:r>
      <w:r w:rsidRPr="007810D6">
        <w:rPr>
          <w:rFonts w:cs="Arial"/>
          <w:spacing w:val="-5"/>
          <w:sz w:val="20"/>
          <w:szCs w:val="20"/>
          <w:lang w:eastAsia="en-US"/>
        </w:rPr>
        <w:t xml:space="preserve"> </w:t>
      </w:r>
      <w:r w:rsidRPr="007810D6">
        <w:rPr>
          <w:rFonts w:cs="Arial"/>
          <w:sz w:val="20"/>
          <w:szCs w:val="20"/>
          <w:lang w:eastAsia="en-US"/>
        </w:rPr>
        <w:t xml:space="preserve">valorará la idoneidad y calidad del grupo receptor </w:t>
      </w:r>
      <w:proofErr w:type="gramStart"/>
      <w:r w:rsidRPr="007810D6">
        <w:rPr>
          <w:rFonts w:cs="Arial"/>
          <w:sz w:val="20"/>
          <w:szCs w:val="20"/>
          <w:lang w:eastAsia="en-US"/>
        </w:rPr>
        <w:t>de acuerdo a</w:t>
      </w:r>
      <w:proofErr w:type="gramEnd"/>
      <w:r w:rsidRPr="007810D6">
        <w:rPr>
          <w:rFonts w:cs="Arial"/>
          <w:sz w:val="20"/>
          <w:szCs w:val="20"/>
          <w:lang w:eastAsia="en-US"/>
        </w:rPr>
        <w:t xml:space="preserve"> las publicaciones, patentes y proyectos de investigación durante los últimos 5 años, hasta un máximo de 5 puntos.</w:t>
      </w:r>
    </w:p>
    <w:p w14:paraId="230CEA92" w14:textId="77777777" w:rsidR="007810D6" w:rsidRPr="007810D6" w:rsidRDefault="007810D6" w:rsidP="007810D6">
      <w:pPr>
        <w:pStyle w:val="Default"/>
        <w:autoSpaceDE/>
        <w:autoSpaceDN/>
        <w:adjustRightInd/>
        <w:ind w:left="284"/>
        <w:jc w:val="both"/>
        <w:rPr>
          <w:rFonts w:ascii="IBM Plex Sans" w:hAnsi="IBM Plex Sans"/>
          <w:color w:val="323E4F"/>
          <w:sz w:val="20"/>
          <w:szCs w:val="20"/>
        </w:rPr>
      </w:pPr>
    </w:p>
    <w:p w14:paraId="418F9F35" w14:textId="77777777" w:rsidR="007810D6" w:rsidRPr="007810D6" w:rsidRDefault="007810D6" w:rsidP="007810D6">
      <w:pPr>
        <w:pStyle w:val="Default"/>
        <w:tabs>
          <w:tab w:val="left" w:pos="1605"/>
        </w:tabs>
        <w:ind w:left="284"/>
        <w:jc w:val="both"/>
        <w:rPr>
          <w:rFonts w:ascii="IBM Plex Sans" w:hAnsi="IBM Plex Sans"/>
          <w:color w:val="auto"/>
          <w:sz w:val="20"/>
          <w:szCs w:val="20"/>
        </w:rPr>
      </w:pPr>
      <w:r w:rsidRPr="007810D6">
        <w:rPr>
          <w:rFonts w:ascii="IBM Plex Sans" w:hAnsi="IBM Plex Sans"/>
          <w:color w:val="auto"/>
          <w:sz w:val="20"/>
          <w:szCs w:val="20"/>
        </w:rPr>
        <w:t>Para PTGAS: (los méritos aportados que tengan la misma descripción que en baremo de PDI, serán contabilizados con la misma puntuación)</w:t>
      </w:r>
    </w:p>
    <w:p w14:paraId="3DDB88A0" w14:textId="77777777" w:rsidR="007810D6" w:rsidRPr="007810D6" w:rsidRDefault="007810D6" w:rsidP="007810D6">
      <w:pPr>
        <w:ind w:left="284"/>
        <w:rPr>
          <w:rFonts w:eastAsia="Times New Roman" w:cs="Arial"/>
          <w:b/>
          <w:sz w:val="20"/>
          <w:szCs w:val="20"/>
          <w:lang w:val="es-ES" w:eastAsia="es-ES"/>
        </w:rPr>
      </w:pPr>
      <w:r w:rsidRPr="007810D6">
        <w:rPr>
          <w:b/>
          <w:sz w:val="20"/>
          <w:szCs w:val="20"/>
        </w:rPr>
        <w:br w:type="page"/>
      </w:r>
    </w:p>
    <w:p w14:paraId="2A1529D5" w14:textId="77777777" w:rsidR="007810D6" w:rsidRPr="007810D6" w:rsidRDefault="007810D6" w:rsidP="007810D6">
      <w:pPr>
        <w:pStyle w:val="Default"/>
        <w:ind w:left="284"/>
        <w:jc w:val="right"/>
        <w:rPr>
          <w:rFonts w:ascii="IBM Plex Sans" w:hAnsi="IBM Plex Sans"/>
          <w:b/>
          <w:color w:val="auto"/>
          <w:sz w:val="20"/>
          <w:szCs w:val="20"/>
        </w:rPr>
      </w:pPr>
      <w:r w:rsidRPr="007810D6">
        <w:rPr>
          <w:rFonts w:ascii="IBM Plex Sans" w:hAnsi="IBM Plex Sans"/>
          <w:b/>
          <w:color w:val="auto"/>
          <w:sz w:val="20"/>
          <w:szCs w:val="20"/>
        </w:rPr>
        <w:t xml:space="preserve">MODALIDAD C PTGAS - Baremo  </w:t>
      </w:r>
    </w:p>
    <w:p w14:paraId="08F2A3B4" w14:textId="77777777" w:rsidR="007810D6" w:rsidRPr="007810D6" w:rsidRDefault="007810D6" w:rsidP="007810D6">
      <w:pPr>
        <w:pStyle w:val="Default"/>
        <w:ind w:left="284"/>
        <w:jc w:val="right"/>
        <w:rPr>
          <w:rFonts w:ascii="IBM Plex Sans" w:hAnsi="IBM Plex Sans"/>
          <w:b/>
          <w:color w:val="auto"/>
          <w:sz w:val="20"/>
          <w:szCs w:val="20"/>
        </w:rPr>
      </w:pPr>
    </w:p>
    <w:p w14:paraId="5F7EE344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color w:val="auto"/>
          <w:sz w:val="20"/>
          <w:szCs w:val="20"/>
        </w:rPr>
      </w:pPr>
      <w:r w:rsidRPr="007810D6">
        <w:rPr>
          <w:rFonts w:ascii="IBM Plex Sans" w:hAnsi="IBM Plex Sans"/>
          <w:b/>
          <w:color w:val="auto"/>
          <w:sz w:val="20"/>
          <w:szCs w:val="20"/>
        </w:rPr>
        <w:t>1. EXPERIENCIA PROFESIONAL</w:t>
      </w:r>
    </w:p>
    <w:p w14:paraId="21E18E5B" w14:textId="77777777" w:rsidR="007810D6" w:rsidRPr="007810D6" w:rsidRDefault="007810D6" w:rsidP="007810D6">
      <w:pPr>
        <w:pStyle w:val="Default"/>
        <w:ind w:left="284"/>
        <w:jc w:val="both"/>
        <w:rPr>
          <w:rFonts w:ascii="IBM Plex Sans" w:hAnsi="IBM Plex Sans"/>
          <w:b/>
          <w:color w:val="auto"/>
          <w:sz w:val="20"/>
          <w:szCs w:val="20"/>
        </w:rPr>
      </w:pPr>
    </w:p>
    <w:p w14:paraId="651F0D0D" w14:textId="77777777" w:rsidR="007810D6" w:rsidRPr="007810D6" w:rsidRDefault="007810D6" w:rsidP="007810D6">
      <w:pPr>
        <w:autoSpaceDE w:val="0"/>
        <w:autoSpaceDN w:val="0"/>
        <w:adjustRightInd w:val="0"/>
        <w:spacing w:line="240" w:lineRule="atLeast"/>
        <w:ind w:left="284"/>
        <w:rPr>
          <w:rFonts w:cs="Arial"/>
          <w:bCs/>
          <w:sz w:val="20"/>
          <w:szCs w:val="20"/>
          <w:lang w:eastAsia="es-ES"/>
        </w:rPr>
      </w:pPr>
      <w:commentRangeStart w:id="0"/>
      <w:r w:rsidRPr="007810D6">
        <w:rPr>
          <w:rFonts w:cs="Arial"/>
          <w:bCs/>
          <w:sz w:val="20"/>
          <w:szCs w:val="20"/>
          <w:lang w:eastAsia="es-ES"/>
        </w:rPr>
        <w:t>1.1 Servicios realizados en UMU (Cuerpo/Escala/Categoría) 1 punto por año</w:t>
      </w:r>
      <w:commentRangeEnd w:id="0"/>
      <w:r w:rsidRPr="007810D6">
        <w:rPr>
          <w:rStyle w:val="Refdecomentario"/>
          <w:rFonts w:ascii="Times New Roman" w:eastAsia="Times New Roman" w:hAnsi="Times New Roman"/>
          <w:sz w:val="20"/>
          <w:szCs w:val="20"/>
          <w:lang w:val="es-ES_tradnl" w:eastAsia="es-ES"/>
        </w:rPr>
        <w:commentReference w:id="0"/>
      </w:r>
    </w:p>
    <w:p w14:paraId="73449D50" w14:textId="77777777" w:rsidR="007810D6" w:rsidRPr="007810D6" w:rsidRDefault="007810D6" w:rsidP="007810D6">
      <w:pPr>
        <w:autoSpaceDE w:val="0"/>
        <w:autoSpaceDN w:val="0"/>
        <w:adjustRightInd w:val="0"/>
        <w:spacing w:line="240" w:lineRule="atLeast"/>
        <w:ind w:left="284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 xml:space="preserve">1.2. Títulos académicos acreditados </w:t>
      </w:r>
    </w:p>
    <w:p w14:paraId="2A53EDFD" w14:textId="77777777" w:rsidR="007810D6" w:rsidRPr="007810D6" w:rsidRDefault="007810D6" w:rsidP="007810D6">
      <w:pPr>
        <w:autoSpaceDE w:val="0"/>
        <w:autoSpaceDN w:val="0"/>
        <w:adjustRightInd w:val="0"/>
        <w:spacing w:line="240" w:lineRule="atLeast"/>
        <w:ind w:left="284"/>
        <w:contextualSpacing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 xml:space="preserve">1.2.1. Titulación universitaria: máximo 2 puntos </w:t>
      </w:r>
    </w:p>
    <w:p w14:paraId="70DDDA59" w14:textId="77777777" w:rsidR="007810D6" w:rsidRPr="007810D6" w:rsidRDefault="007810D6" w:rsidP="007810D6">
      <w:pPr>
        <w:autoSpaceDE w:val="0"/>
        <w:autoSpaceDN w:val="0"/>
        <w:adjustRightInd w:val="0"/>
        <w:spacing w:line="240" w:lineRule="atLeast"/>
        <w:ind w:left="284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1.2.2. Otra Titulación universitaria Máximo: 1 punto</w:t>
      </w:r>
    </w:p>
    <w:p w14:paraId="0A0E8790" w14:textId="77777777" w:rsidR="007810D6" w:rsidRPr="007810D6" w:rsidRDefault="007810D6" w:rsidP="007810D6">
      <w:pPr>
        <w:autoSpaceDE w:val="0"/>
        <w:autoSpaceDN w:val="0"/>
        <w:adjustRightInd w:val="0"/>
        <w:spacing w:line="240" w:lineRule="atLeast"/>
        <w:ind w:left="284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1.2.3.</w:t>
      </w:r>
      <w:r w:rsidRPr="007810D6">
        <w:rPr>
          <w:rFonts w:cs="Arial"/>
          <w:sz w:val="20"/>
          <w:szCs w:val="20"/>
        </w:rPr>
        <w:t xml:space="preserve"> Tesis doctoral Máximo: 4 puntos.</w:t>
      </w:r>
    </w:p>
    <w:p w14:paraId="6A736345" w14:textId="77777777" w:rsidR="007810D6" w:rsidRPr="007810D6" w:rsidRDefault="007810D6" w:rsidP="007810D6">
      <w:pPr>
        <w:autoSpaceDE w:val="0"/>
        <w:autoSpaceDN w:val="0"/>
        <w:adjustRightInd w:val="0"/>
        <w:ind w:left="284"/>
        <w:jc w:val="left"/>
        <w:rPr>
          <w:rFonts w:cs="Arial"/>
          <w:b/>
          <w:sz w:val="20"/>
          <w:szCs w:val="20"/>
        </w:rPr>
      </w:pPr>
      <w:r w:rsidRPr="007810D6">
        <w:rPr>
          <w:rFonts w:cs="Arial"/>
          <w:b/>
          <w:sz w:val="20"/>
          <w:szCs w:val="20"/>
        </w:rPr>
        <w:t>2. ACTIVIDAD PROFESIONAL</w:t>
      </w:r>
    </w:p>
    <w:p w14:paraId="67B4449A" w14:textId="77777777" w:rsidR="007810D6" w:rsidRPr="007810D6" w:rsidRDefault="007810D6" w:rsidP="007810D6">
      <w:pPr>
        <w:autoSpaceDE w:val="0"/>
        <w:autoSpaceDN w:val="0"/>
        <w:adjustRightInd w:val="0"/>
        <w:ind w:left="284" w:right="-469"/>
        <w:contextualSpacing/>
        <w:jc w:val="left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2.1. Organización de jornadas, talleres o seminarios (hasta 1 punto/evento organizado)</w:t>
      </w:r>
    </w:p>
    <w:p w14:paraId="09B8AF6D" w14:textId="77777777" w:rsidR="007810D6" w:rsidRPr="007810D6" w:rsidRDefault="007810D6" w:rsidP="007810D6">
      <w:pPr>
        <w:autoSpaceDE w:val="0"/>
        <w:autoSpaceDN w:val="0"/>
        <w:adjustRightInd w:val="0"/>
        <w:ind w:left="284"/>
        <w:contextualSpacing/>
        <w:jc w:val="left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2.2. Participación en jornadas, talleres y seminarios (hasta 0,5 puntos/participación)</w:t>
      </w:r>
    </w:p>
    <w:p w14:paraId="0D2E9628" w14:textId="77777777" w:rsidR="007810D6" w:rsidRPr="007810D6" w:rsidRDefault="007810D6" w:rsidP="007810D6">
      <w:pPr>
        <w:tabs>
          <w:tab w:val="left" w:pos="2655"/>
        </w:tabs>
        <w:autoSpaceDE w:val="0"/>
        <w:autoSpaceDN w:val="0"/>
        <w:adjustRightInd w:val="0"/>
        <w:ind w:left="284"/>
        <w:contextualSpacing/>
        <w:jc w:val="left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2.3. Actividad docente (máximo 2 puntos)</w:t>
      </w:r>
    </w:p>
    <w:p w14:paraId="4F4340CA" w14:textId="77777777" w:rsidR="007810D6" w:rsidRPr="007810D6" w:rsidRDefault="007810D6" w:rsidP="007810D6">
      <w:pPr>
        <w:autoSpaceDE w:val="0"/>
        <w:autoSpaceDN w:val="0"/>
        <w:adjustRightInd w:val="0"/>
        <w:ind w:left="284"/>
        <w:contextualSpacing/>
        <w:jc w:val="left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2.4. Estancias en otros centros nacionales o internacionales (máximo 2 puntos)</w:t>
      </w:r>
    </w:p>
    <w:p w14:paraId="6219716D" w14:textId="77777777" w:rsidR="007810D6" w:rsidRPr="007810D6" w:rsidRDefault="007810D6" w:rsidP="007810D6">
      <w:pPr>
        <w:autoSpaceDE w:val="0"/>
        <w:autoSpaceDN w:val="0"/>
        <w:adjustRightInd w:val="0"/>
        <w:ind w:left="284"/>
        <w:contextualSpacing/>
        <w:jc w:val="left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2.5. Acreditación de nivel de idioma del país del centro de acogida (máximo 2 puntos)</w:t>
      </w:r>
    </w:p>
    <w:p w14:paraId="05215FF5" w14:textId="77777777" w:rsidR="007810D6" w:rsidRPr="007810D6" w:rsidRDefault="007810D6" w:rsidP="007810D6">
      <w:pPr>
        <w:autoSpaceDE w:val="0"/>
        <w:autoSpaceDN w:val="0"/>
        <w:adjustRightInd w:val="0"/>
        <w:ind w:left="284"/>
        <w:contextualSpacing/>
        <w:jc w:val="left"/>
        <w:rPr>
          <w:rFonts w:cs="Arial"/>
          <w:bCs/>
          <w:sz w:val="20"/>
          <w:szCs w:val="20"/>
          <w:lang w:eastAsia="es-ES"/>
        </w:rPr>
      </w:pPr>
      <w:r w:rsidRPr="007810D6">
        <w:rPr>
          <w:rFonts w:cs="Arial"/>
          <w:bCs/>
          <w:sz w:val="20"/>
          <w:szCs w:val="20"/>
          <w:lang w:eastAsia="es-ES"/>
        </w:rPr>
        <w:t>2.6 Otros méritos (máximo 2 puntos)</w:t>
      </w:r>
    </w:p>
    <w:p w14:paraId="6C6AE90E" w14:textId="77777777" w:rsidR="007810D6" w:rsidRPr="007810D6" w:rsidRDefault="007810D6" w:rsidP="007810D6">
      <w:pPr>
        <w:autoSpaceDE w:val="0"/>
        <w:autoSpaceDN w:val="0"/>
        <w:adjustRightInd w:val="0"/>
        <w:ind w:left="284"/>
        <w:contextualSpacing/>
        <w:jc w:val="left"/>
        <w:rPr>
          <w:rFonts w:cs="Arial"/>
          <w:bCs/>
          <w:sz w:val="20"/>
          <w:szCs w:val="20"/>
          <w:lang w:eastAsia="es-ES"/>
        </w:rPr>
      </w:pPr>
    </w:p>
    <w:p w14:paraId="5C7BC0FC" w14:textId="77777777" w:rsidR="007810D6" w:rsidRPr="007810D6" w:rsidRDefault="007810D6" w:rsidP="007810D6">
      <w:pPr>
        <w:spacing w:after="200"/>
        <w:ind w:left="284"/>
        <w:rPr>
          <w:rFonts w:eastAsia="Times New Roman" w:cs="Arial"/>
          <w:b/>
          <w:sz w:val="20"/>
          <w:szCs w:val="20"/>
          <w:lang w:eastAsia="en-US"/>
        </w:rPr>
      </w:pPr>
      <w:r w:rsidRPr="007810D6">
        <w:rPr>
          <w:rFonts w:eastAsia="Times New Roman" w:cs="Arial"/>
          <w:b/>
          <w:sz w:val="20"/>
          <w:szCs w:val="20"/>
          <w:lang w:eastAsia="en-US"/>
        </w:rPr>
        <w:t xml:space="preserve">3. INTERÉS DEL PROYECTO Y EL HISTORIAL DEL GRUPO RECEPTOR (Máximo: 10 </w:t>
      </w:r>
      <w:r w:rsidRPr="007810D6">
        <w:rPr>
          <w:rFonts w:cs="Arial"/>
          <w:bCs/>
          <w:sz w:val="20"/>
          <w:szCs w:val="20"/>
          <w:lang w:eastAsia="es-ES"/>
        </w:rPr>
        <w:t>puntos</w:t>
      </w:r>
      <w:r w:rsidRPr="007810D6">
        <w:rPr>
          <w:rFonts w:eastAsia="Times New Roman" w:cs="Arial"/>
          <w:b/>
          <w:sz w:val="20"/>
          <w:szCs w:val="20"/>
          <w:lang w:eastAsia="en-US"/>
        </w:rPr>
        <w:t>)</w:t>
      </w:r>
      <w:r w:rsidRPr="007810D6">
        <w:rPr>
          <w:rFonts w:eastAsia="Times New Roman" w:cs="Arial"/>
          <w:sz w:val="20"/>
          <w:szCs w:val="20"/>
          <w:lang w:eastAsia="en-US"/>
        </w:rPr>
        <w:t xml:space="preserve"> </w:t>
      </w:r>
    </w:p>
    <w:p w14:paraId="12A769FA" w14:textId="77777777" w:rsidR="007810D6" w:rsidRPr="007810D6" w:rsidRDefault="007810D6" w:rsidP="007810D6">
      <w:pPr>
        <w:widowControl w:val="0"/>
        <w:tabs>
          <w:tab w:val="left" w:pos="927"/>
        </w:tabs>
        <w:spacing w:after="120"/>
        <w:ind w:left="284"/>
        <w:rPr>
          <w:rFonts w:eastAsia="Times New Roman" w:cs="Arial"/>
          <w:b/>
          <w:sz w:val="20"/>
          <w:szCs w:val="20"/>
          <w:lang w:eastAsia="en-US"/>
        </w:rPr>
      </w:pPr>
      <w:r w:rsidRPr="007810D6">
        <w:rPr>
          <w:rFonts w:eastAsia="Times New Roman" w:cs="Arial"/>
          <w:b/>
          <w:sz w:val="20"/>
          <w:szCs w:val="20"/>
          <w:lang w:eastAsia="en-US"/>
        </w:rPr>
        <w:t>3.1. Interés del proyecto y viabilidad del proyecto en función del calendario establecido</w:t>
      </w:r>
    </w:p>
    <w:p w14:paraId="3B995AE9" w14:textId="77777777" w:rsidR="007810D6" w:rsidRPr="007810D6" w:rsidRDefault="007810D6" w:rsidP="007810D6">
      <w:pPr>
        <w:widowControl w:val="0"/>
        <w:tabs>
          <w:tab w:val="left" w:pos="927"/>
        </w:tabs>
        <w:spacing w:after="120"/>
        <w:ind w:left="284"/>
        <w:rPr>
          <w:rFonts w:eastAsia="Times New Roman" w:cs="Arial"/>
          <w:sz w:val="20"/>
          <w:szCs w:val="20"/>
          <w:lang w:eastAsia="en-US"/>
        </w:rPr>
      </w:pPr>
      <w:r w:rsidRPr="007810D6">
        <w:rPr>
          <w:rFonts w:eastAsia="Times New Roman" w:cs="Arial"/>
          <w:sz w:val="20"/>
          <w:szCs w:val="20"/>
          <w:lang w:eastAsia="en-US"/>
        </w:rPr>
        <w:t>En este apartado se</w:t>
      </w:r>
      <w:r w:rsidRPr="007810D6">
        <w:rPr>
          <w:rFonts w:eastAsia="Times New Roman" w:cs="Arial"/>
          <w:spacing w:val="-16"/>
          <w:sz w:val="20"/>
          <w:szCs w:val="20"/>
          <w:lang w:eastAsia="en-US"/>
        </w:rPr>
        <w:t xml:space="preserve"> </w:t>
      </w:r>
      <w:r w:rsidRPr="007810D6">
        <w:rPr>
          <w:rFonts w:eastAsia="Times New Roman" w:cs="Arial"/>
          <w:sz w:val="20"/>
          <w:szCs w:val="20"/>
          <w:lang w:eastAsia="en-US"/>
        </w:rPr>
        <w:t>valorará:</w:t>
      </w:r>
    </w:p>
    <w:p w14:paraId="0541743D" w14:textId="77777777" w:rsidR="007810D6" w:rsidRPr="007810D6" w:rsidRDefault="007810D6" w:rsidP="007810D6">
      <w:pPr>
        <w:pStyle w:val="Prrafodelista"/>
        <w:widowControl w:val="0"/>
        <w:numPr>
          <w:ilvl w:val="0"/>
          <w:numId w:val="17"/>
        </w:numPr>
        <w:spacing w:after="120"/>
        <w:ind w:left="284" w:firstLine="0"/>
        <w:jc w:val="both"/>
        <w:rPr>
          <w:rFonts w:ascii="IBM Plex Sans" w:hAnsi="IBM Plex Sans" w:cs="Arial"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La concreción en la definición de objetivos y capacidad del solicitante y el centro receptor, a la luz de su trayectoria profesional, para llevar a cabo los objetivos propuestos e importancia para la internacionalización de la actividad del solicitante y del grupo/servicio/área, hasta 2,5</w:t>
      </w:r>
      <w:r w:rsidRPr="007810D6">
        <w:rPr>
          <w:rFonts w:ascii="IBM Plex Sans" w:hAnsi="IBM Plex Sans" w:cs="Arial"/>
          <w:spacing w:val="-13"/>
          <w:sz w:val="20"/>
          <w:szCs w:val="20"/>
        </w:rPr>
        <w:t xml:space="preserve"> </w:t>
      </w:r>
      <w:r w:rsidRPr="007810D6">
        <w:rPr>
          <w:rFonts w:ascii="IBM Plex Sans" w:hAnsi="IBM Plex Sans" w:cs="Arial"/>
          <w:sz w:val="20"/>
          <w:szCs w:val="20"/>
        </w:rPr>
        <w:t>puntos.</w:t>
      </w:r>
    </w:p>
    <w:p w14:paraId="3B150899" w14:textId="77777777" w:rsidR="007810D6" w:rsidRPr="007810D6" w:rsidRDefault="007810D6" w:rsidP="007810D6">
      <w:pPr>
        <w:widowControl w:val="0"/>
        <w:numPr>
          <w:ilvl w:val="0"/>
          <w:numId w:val="17"/>
        </w:numPr>
        <w:spacing w:after="120" w:line="240" w:lineRule="auto"/>
        <w:ind w:left="284" w:right="0" w:firstLine="0"/>
        <w:contextualSpacing/>
        <w:rPr>
          <w:rFonts w:eastAsia="Times New Roman" w:cs="Arial"/>
          <w:sz w:val="20"/>
          <w:szCs w:val="20"/>
          <w:lang w:eastAsia="en-US"/>
        </w:rPr>
      </w:pPr>
      <w:r w:rsidRPr="007810D6">
        <w:rPr>
          <w:rFonts w:eastAsia="Times New Roman" w:cs="Arial"/>
          <w:sz w:val="20"/>
          <w:szCs w:val="20"/>
          <w:lang w:eastAsia="en-US"/>
        </w:rPr>
        <w:t xml:space="preserve">Descripción y viabilidad del plan de trabajo y la metodología, hasta 1,25 puntos. </w:t>
      </w:r>
    </w:p>
    <w:p w14:paraId="30F7B784" w14:textId="77777777" w:rsidR="007810D6" w:rsidRPr="007810D6" w:rsidRDefault="007810D6" w:rsidP="007810D6">
      <w:pPr>
        <w:pStyle w:val="Prrafodelista"/>
        <w:widowControl w:val="0"/>
        <w:numPr>
          <w:ilvl w:val="0"/>
          <w:numId w:val="17"/>
        </w:numPr>
        <w:spacing w:after="120"/>
        <w:ind w:left="284" w:firstLine="0"/>
        <w:jc w:val="both"/>
        <w:rPr>
          <w:rFonts w:ascii="IBM Plex Sans" w:hAnsi="IBM Plex Sans" w:cs="Arial"/>
          <w:b/>
          <w:sz w:val="20"/>
          <w:szCs w:val="20"/>
        </w:rPr>
      </w:pPr>
      <w:r w:rsidRPr="007810D6">
        <w:rPr>
          <w:rFonts w:ascii="IBM Plex Sans" w:hAnsi="IBM Plex Sans" w:cs="Arial"/>
          <w:sz w:val="20"/>
          <w:szCs w:val="20"/>
        </w:rPr>
        <w:t>Posibilidad de que la estancia suponga el inicio de una colaboración más estable entre los dos centros, hasta 1,25</w:t>
      </w:r>
      <w:r w:rsidRPr="007810D6">
        <w:rPr>
          <w:rFonts w:ascii="IBM Plex Sans" w:hAnsi="IBM Plex Sans" w:cs="Arial"/>
          <w:spacing w:val="-12"/>
          <w:sz w:val="20"/>
          <w:szCs w:val="20"/>
        </w:rPr>
        <w:t xml:space="preserve"> </w:t>
      </w:r>
      <w:r w:rsidRPr="007810D6">
        <w:rPr>
          <w:rFonts w:ascii="IBM Plex Sans" w:hAnsi="IBM Plex Sans" w:cs="Arial"/>
          <w:sz w:val="20"/>
          <w:szCs w:val="20"/>
        </w:rPr>
        <w:t>puntos.</w:t>
      </w:r>
    </w:p>
    <w:p w14:paraId="2A4805F1" w14:textId="77777777" w:rsidR="007810D6" w:rsidRPr="007810D6" w:rsidRDefault="007810D6" w:rsidP="007810D6">
      <w:pPr>
        <w:widowControl w:val="0"/>
        <w:tabs>
          <w:tab w:val="left" w:pos="989"/>
        </w:tabs>
        <w:spacing w:after="120"/>
        <w:ind w:left="284"/>
        <w:rPr>
          <w:rFonts w:eastAsia="Times New Roman" w:cs="Arial"/>
          <w:b/>
          <w:sz w:val="20"/>
          <w:szCs w:val="20"/>
          <w:lang w:eastAsia="en-US"/>
        </w:rPr>
      </w:pPr>
      <w:r w:rsidRPr="007810D6">
        <w:rPr>
          <w:rFonts w:eastAsia="Times New Roman" w:cs="Arial"/>
          <w:b/>
          <w:sz w:val="20"/>
          <w:szCs w:val="20"/>
          <w:lang w:eastAsia="en-US"/>
        </w:rPr>
        <w:t xml:space="preserve">3.2. Historial del grupo receptor </w:t>
      </w:r>
    </w:p>
    <w:p w14:paraId="2818B0DD" w14:textId="77777777" w:rsidR="007810D6" w:rsidRPr="007810D6" w:rsidRDefault="007810D6" w:rsidP="007810D6">
      <w:pPr>
        <w:widowControl w:val="0"/>
        <w:tabs>
          <w:tab w:val="left" w:pos="989"/>
        </w:tabs>
        <w:spacing w:after="120"/>
        <w:ind w:left="284"/>
        <w:rPr>
          <w:rFonts w:eastAsia="Times New Roman" w:cs="Arial"/>
          <w:sz w:val="20"/>
          <w:szCs w:val="20"/>
          <w:lang w:eastAsia="en-US"/>
        </w:rPr>
      </w:pPr>
      <w:r w:rsidRPr="007810D6">
        <w:rPr>
          <w:rFonts w:eastAsia="Times New Roman" w:cs="Arial"/>
          <w:sz w:val="20"/>
          <w:szCs w:val="20"/>
          <w:lang w:eastAsia="en-US"/>
        </w:rPr>
        <w:t>En este apartado se</w:t>
      </w:r>
      <w:r w:rsidRPr="007810D6">
        <w:rPr>
          <w:rFonts w:eastAsia="Times New Roman" w:cs="Arial"/>
          <w:spacing w:val="-5"/>
          <w:sz w:val="20"/>
          <w:szCs w:val="20"/>
          <w:lang w:eastAsia="en-US"/>
        </w:rPr>
        <w:t xml:space="preserve"> </w:t>
      </w:r>
      <w:r w:rsidRPr="007810D6">
        <w:rPr>
          <w:rFonts w:eastAsia="Times New Roman" w:cs="Arial"/>
          <w:sz w:val="20"/>
          <w:szCs w:val="20"/>
          <w:lang w:eastAsia="en-US"/>
        </w:rPr>
        <w:t xml:space="preserve">valorará la idoneidad y calidad del centro receptor </w:t>
      </w:r>
      <w:proofErr w:type="gramStart"/>
      <w:r w:rsidRPr="007810D6">
        <w:rPr>
          <w:rFonts w:eastAsia="Times New Roman" w:cs="Arial"/>
          <w:sz w:val="20"/>
          <w:szCs w:val="20"/>
          <w:lang w:eastAsia="en-US"/>
        </w:rPr>
        <w:t>de acuerdo a</w:t>
      </w:r>
      <w:proofErr w:type="gramEnd"/>
      <w:r w:rsidRPr="007810D6">
        <w:rPr>
          <w:rFonts w:eastAsia="Times New Roman" w:cs="Arial"/>
          <w:sz w:val="20"/>
          <w:szCs w:val="20"/>
          <w:lang w:eastAsia="en-US"/>
        </w:rPr>
        <w:t xml:space="preserve"> los principales logros relacionados con el proyecto propuesto en los últimos 5 años (</w:t>
      </w:r>
      <w:r w:rsidRPr="007810D6">
        <w:rPr>
          <w:rFonts w:cs="Arial"/>
          <w:sz w:val="20"/>
          <w:szCs w:val="20"/>
          <w:lang w:val="es-ES_tradnl"/>
        </w:rPr>
        <w:t>proyectos, patentes, servicios, protocolos…)</w:t>
      </w:r>
      <w:r w:rsidRPr="007810D6">
        <w:rPr>
          <w:rFonts w:eastAsia="Times New Roman" w:cs="Arial"/>
          <w:sz w:val="20"/>
          <w:szCs w:val="20"/>
          <w:lang w:eastAsia="en-US"/>
        </w:rPr>
        <w:t>, hasta un máximo de 5 puntos.</w:t>
      </w:r>
    </w:p>
    <w:p w14:paraId="4BBC9625" w14:textId="7D9F2B26" w:rsidR="00D26F0C" w:rsidRPr="007810D6" w:rsidRDefault="00D26F0C" w:rsidP="007810D6">
      <w:pPr>
        <w:ind w:left="284"/>
        <w:rPr>
          <w:sz w:val="20"/>
          <w:szCs w:val="20"/>
        </w:rPr>
      </w:pPr>
    </w:p>
    <w:sectPr w:rsidR="00D26F0C" w:rsidRPr="007810D6" w:rsidSect="002E32AE">
      <w:headerReference w:type="default" r:id="rId11"/>
      <w:footerReference w:type="default" r:id="rId12"/>
      <w:pgSz w:w="11909" w:h="16834"/>
      <w:pgMar w:top="0" w:right="710" w:bottom="1440" w:left="993" w:header="8" w:footer="0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JESUS PERIAGO CASTON" w:date="2024-01-29T13:51:00Z" w:initials="MjP">
    <w:p w14:paraId="5179D5B8" w14:textId="77777777" w:rsidR="007810D6" w:rsidRDefault="007810D6" w:rsidP="007810D6">
      <w:pPr>
        <w:jc w:val="left"/>
      </w:pPr>
      <w:r>
        <w:rPr>
          <w:rStyle w:val="Refdecomentario"/>
        </w:rPr>
        <w:annotation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Repasa el texto la letra esta más pequeña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79D5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CE2A92" w16cex:dateUtc="2024-01-29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9D5B8" w16cid:durableId="02CE2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6EB8" w14:textId="77777777" w:rsidR="00FA32EC" w:rsidRDefault="00FA32EC">
      <w:pPr>
        <w:spacing w:line="240" w:lineRule="auto"/>
      </w:pPr>
      <w:r>
        <w:separator/>
      </w:r>
    </w:p>
  </w:endnote>
  <w:endnote w:type="continuationSeparator" w:id="0">
    <w:p w14:paraId="22483475" w14:textId="77777777" w:rsidR="00FA32EC" w:rsidRDefault="00FA3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54036408" name="Imagen 1540364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3DD115C" w:rsidR="00360893" w:rsidRDefault="00F54F94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Área de Relaciones Internacionales</w:t>
          </w:r>
        </w:p>
        <w:p w14:paraId="5DA16436" w14:textId="49285C64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F54F94">
            <w:rPr>
              <w:color w:val="002129"/>
              <w:sz w:val="16"/>
              <w:szCs w:val="16"/>
            </w:rPr>
            <w:t xml:space="preserve"> Rector Soler, 2ª planta</w:t>
          </w:r>
        </w:p>
        <w:p w14:paraId="138E617C" w14:textId="41C33C6B" w:rsidR="00360893" w:rsidRPr="00051EE0" w:rsidRDefault="00F54F94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Campus de Espinardo</w:t>
          </w:r>
        </w:p>
        <w:p w14:paraId="711F4616" w14:textId="60089A67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F54F94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4EE3E8E7" w:rsidR="00360893" w:rsidRDefault="00F54F94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internacionales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2C487D4B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F54F94">
            <w:rPr>
              <w:color w:val="002129"/>
              <w:sz w:val="16"/>
              <w:szCs w:val="16"/>
            </w:rPr>
            <w:t>4074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C211" w14:textId="77777777" w:rsidR="00FA32EC" w:rsidRDefault="00FA32EC">
      <w:pPr>
        <w:spacing w:line="240" w:lineRule="auto"/>
      </w:pPr>
      <w:r>
        <w:separator/>
      </w:r>
    </w:p>
  </w:footnote>
  <w:footnote w:type="continuationSeparator" w:id="0">
    <w:p w14:paraId="066DE930" w14:textId="77777777" w:rsidR="00FA32EC" w:rsidRDefault="00FA3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6EFF608C">
          <wp:simplePos x="0" y="0"/>
          <wp:positionH relativeFrom="column">
            <wp:posOffset>-930584</wp:posOffset>
          </wp:positionH>
          <wp:positionV relativeFrom="paragraph">
            <wp:posOffset>-5080</wp:posOffset>
          </wp:positionV>
          <wp:extent cx="7557770" cy="1524000"/>
          <wp:effectExtent l="0" t="0" r="5080" b="0"/>
          <wp:wrapSquare wrapText="bothSides"/>
          <wp:docPr id="815799728" name="Imagen 8157997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2C6"/>
    <w:multiLevelType w:val="hybridMultilevel"/>
    <w:tmpl w:val="0CFA2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2CC"/>
    <w:multiLevelType w:val="hybridMultilevel"/>
    <w:tmpl w:val="53F8DBE4"/>
    <w:lvl w:ilvl="0" w:tplc="A8962A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BA9"/>
    <w:multiLevelType w:val="hybridMultilevel"/>
    <w:tmpl w:val="92067CAC"/>
    <w:lvl w:ilvl="0" w:tplc="04102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7612"/>
    <w:multiLevelType w:val="hybridMultilevel"/>
    <w:tmpl w:val="B4E2BAC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806F8"/>
    <w:multiLevelType w:val="hybridMultilevel"/>
    <w:tmpl w:val="29DA0F4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1027F4"/>
    <w:multiLevelType w:val="hybridMultilevel"/>
    <w:tmpl w:val="E1A40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695C"/>
    <w:multiLevelType w:val="hybridMultilevel"/>
    <w:tmpl w:val="EF0893A0"/>
    <w:lvl w:ilvl="0" w:tplc="7F2E8A2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94991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AA4047"/>
    <w:multiLevelType w:val="hybridMultilevel"/>
    <w:tmpl w:val="6DB05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407B"/>
    <w:multiLevelType w:val="hybridMultilevel"/>
    <w:tmpl w:val="FDD0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240B3"/>
    <w:multiLevelType w:val="hybridMultilevel"/>
    <w:tmpl w:val="8E2491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16C3D"/>
    <w:multiLevelType w:val="hybridMultilevel"/>
    <w:tmpl w:val="718C6596"/>
    <w:lvl w:ilvl="0" w:tplc="B674394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348DD"/>
    <w:multiLevelType w:val="hybridMultilevel"/>
    <w:tmpl w:val="18E2116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20D514C"/>
    <w:multiLevelType w:val="hybridMultilevel"/>
    <w:tmpl w:val="56902EA6"/>
    <w:lvl w:ilvl="0" w:tplc="A0E624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94038"/>
    <w:multiLevelType w:val="hybridMultilevel"/>
    <w:tmpl w:val="C7905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474A"/>
    <w:multiLevelType w:val="hybridMultilevel"/>
    <w:tmpl w:val="DF241616"/>
    <w:lvl w:ilvl="0" w:tplc="48FA30B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EC25E47"/>
    <w:multiLevelType w:val="hybridMultilevel"/>
    <w:tmpl w:val="395267A2"/>
    <w:lvl w:ilvl="0" w:tplc="37729C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525094">
    <w:abstractNumId w:val="2"/>
  </w:num>
  <w:num w:numId="2" w16cid:durableId="1969582059">
    <w:abstractNumId w:val="9"/>
  </w:num>
  <w:num w:numId="3" w16cid:durableId="103041395">
    <w:abstractNumId w:val="5"/>
  </w:num>
  <w:num w:numId="4" w16cid:durableId="449514552">
    <w:abstractNumId w:val="12"/>
  </w:num>
  <w:num w:numId="5" w16cid:durableId="1135106155">
    <w:abstractNumId w:val="4"/>
  </w:num>
  <w:num w:numId="6" w16cid:durableId="1358040191">
    <w:abstractNumId w:val="14"/>
  </w:num>
  <w:num w:numId="7" w16cid:durableId="1112554431">
    <w:abstractNumId w:val="3"/>
  </w:num>
  <w:num w:numId="8" w16cid:durableId="540559629">
    <w:abstractNumId w:val="10"/>
  </w:num>
  <w:num w:numId="9" w16cid:durableId="1451976803">
    <w:abstractNumId w:val="0"/>
  </w:num>
  <w:num w:numId="10" w16cid:durableId="457989011">
    <w:abstractNumId w:val="16"/>
  </w:num>
  <w:num w:numId="11" w16cid:durableId="575363472">
    <w:abstractNumId w:val="13"/>
  </w:num>
  <w:num w:numId="12" w16cid:durableId="160973852">
    <w:abstractNumId w:val="6"/>
  </w:num>
  <w:num w:numId="13" w16cid:durableId="1207330216">
    <w:abstractNumId w:val="1"/>
  </w:num>
  <w:num w:numId="14" w16cid:durableId="1948155610">
    <w:abstractNumId w:val="11"/>
  </w:num>
  <w:num w:numId="15" w16cid:durableId="1877498276">
    <w:abstractNumId w:val="15"/>
  </w:num>
  <w:num w:numId="16" w16cid:durableId="881088937">
    <w:abstractNumId w:val="7"/>
  </w:num>
  <w:num w:numId="17" w16cid:durableId="197933319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JESUS PERIAGO CASTON">
    <w15:presenceInfo w15:providerId="AD" w15:userId="S::mjperi@um.es::d0cb43cb-593f-403f-b032-eb1133640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2B734A"/>
    <w:rsid w:val="002E32AE"/>
    <w:rsid w:val="00360893"/>
    <w:rsid w:val="00376F39"/>
    <w:rsid w:val="00382684"/>
    <w:rsid w:val="004C0349"/>
    <w:rsid w:val="005C35EF"/>
    <w:rsid w:val="005E3154"/>
    <w:rsid w:val="00705A86"/>
    <w:rsid w:val="007636EA"/>
    <w:rsid w:val="007810D6"/>
    <w:rsid w:val="008000A5"/>
    <w:rsid w:val="00911856"/>
    <w:rsid w:val="00947BD0"/>
    <w:rsid w:val="00A910AB"/>
    <w:rsid w:val="00B856E8"/>
    <w:rsid w:val="00C13365"/>
    <w:rsid w:val="00CD17A4"/>
    <w:rsid w:val="00CE71A3"/>
    <w:rsid w:val="00D0057C"/>
    <w:rsid w:val="00D01CEB"/>
    <w:rsid w:val="00D26F0C"/>
    <w:rsid w:val="00D4205D"/>
    <w:rsid w:val="00D5212E"/>
    <w:rsid w:val="00D7169A"/>
    <w:rsid w:val="00E56C7D"/>
    <w:rsid w:val="00F54F94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56E8"/>
    <w:pPr>
      <w:spacing w:line="240" w:lineRule="auto"/>
      <w:ind w:left="720" w:right="0"/>
      <w:contextualSpacing/>
      <w:jc w:val="left"/>
    </w:pPr>
    <w:rPr>
      <w:rFonts w:asciiTheme="minorHAnsi" w:eastAsiaTheme="minorHAnsi" w:hAnsiTheme="minorHAnsi" w:cstheme="minorBidi"/>
      <w:lang w:val="es-ES" w:eastAsia="en-US"/>
    </w:rPr>
  </w:style>
  <w:style w:type="paragraph" w:styleId="Textoindependiente">
    <w:name w:val="Body Text"/>
    <w:basedOn w:val="Normal"/>
    <w:link w:val="TextoindependienteCar"/>
    <w:rsid w:val="007810D6"/>
    <w:pPr>
      <w:spacing w:line="240" w:lineRule="auto"/>
      <w:ind w:left="0" w:right="0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810D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Default">
    <w:name w:val="Default"/>
    <w:qFormat/>
    <w:rsid w:val="007810D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Times New Roman" w:hAnsi="Arial" w:cs="Arial"/>
      <w:color w:val="000000"/>
      <w:lang w:val="es-ES" w:eastAsia="es-ES"/>
    </w:rPr>
  </w:style>
  <w:style w:type="character" w:styleId="Refdecomentario">
    <w:name w:val="annotation reference"/>
    <w:uiPriority w:val="99"/>
    <w:qFormat/>
    <w:rsid w:val="007810D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ASCENSION RUIZ SERRANO</cp:lastModifiedBy>
  <cp:revision>2</cp:revision>
  <dcterms:created xsi:type="dcterms:W3CDTF">2024-02-13T12:29:00Z</dcterms:created>
  <dcterms:modified xsi:type="dcterms:W3CDTF">2024-02-13T12:29:00Z</dcterms:modified>
</cp:coreProperties>
</file>