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9007" w14:textId="77777777" w:rsidR="00E7668F" w:rsidRDefault="00E7668F" w:rsidP="00E7668F">
      <w:pPr>
        <w:jc w:val="center"/>
        <w:rPr>
          <w:rFonts w:ascii="Arial" w:hAnsi="Arial" w:cs="Arial"/>
          <w:b/>
          <w:u w:val="single"/>
        </w:rPr>
      </w:pPr>
      <w:r>
        <w:rPr>
          <w:rFonts w:ascii="Arial" w:hAnsi="Arial" w:cs="Arial"/>
          <w:b/>
          <w:u w:val="single"/>
        </w:rPr>
        <w:t>SUPERVISIÓN Y REPLANTEO DEL PROYECTO</w:t>
      </w:r>
    </w:p>
    <w:p w14:paraId="788832EF" w14:textId="77777777" w:rsidR="00E7668F" w:rsidRDefault="00E7668F" w:rsidP="00E7668F">
      <w:pPr>
        <w:jc w:val="center"/>
        <w:rPr>
          <w:rFonts w:ascii="Arial" w:hAnsi="Arial" w:cs="Arial"/>
        </w:rPr>
      </w:pPr>
    </w:p>
    <w:p w14:paraId="1C16E53A" w14:textId="77777777" w:rsidR="00E7668F" w:rsidRDefault="00E7668F" w:rsidP="00E7668F">
      <w:pPr>
        <w:jc w:val="both"/>
        <w:rPr>
          <w:rFonts w:ascii="Arial" w:hAnsi="Arial" w:cs="Arial"/>
        </w:rPr>
      </w:pPr>
    </w:p>
    <w:p w14:paraId="356492D9" w14:textId="7E157922" w:rsidR="00E7668F" w:rsidRDefault="00E7668F" w:rsidP="00E7668F">
      <w:pPr>
        <w:jc w:val="both"/>
      </w:pPr>
      <w:r>
        <w:t xml:space="preserve">Artículo 235. </w:t>
      </w:r>
      <w:r w:rsidRPr="00BA1204">
        <w:rPr>
          <w:b/>
        </w:rPr>
        <w:t>Supervisión de proyectos</w:t>
      </w:r>
      <w:r>
        <w:t>.</w:t>
      </w:r>
      <w:r w:rsidRPr="00BA1204">
        <w:rPr>
          <w:u w:val="single"/>
        </w:rPr>
        <w:t xml:space="preserve"> Antes de la aprobación del proyecto, cuando el presupuesto base de licitación del contrato de obras sea igual o superior a 500.000 euros, IVA excluido</w:t>
      </w:r>
      <w:r>
        <w:t>, los órganos de contratación deberán solicitar un informe de las correspondientes oficinas o unidades de supervisión de los proyectos encargadas de verificar que se han tenido en cuenta las disposiciones generales de carácter legal o reglamentario, así como la normativa técnica que resulten de aplicación para cada tipo de proyecto. La responsabilidad por la aplicación incorrecta de las mismas en los diferentes estudios y cálculos se exigirá de conformidad con lo dispuesto en el apartado 4 del artículo 233 de la presente Ley. En los proyectos de presupuesto base de licitación inferior al señalado, el informe tendrá carácter facultativo, salvo que se trate de obras que afecten a la estabilidad, seguridad o estanqueidad de la obra en cuyo caso el informe de supervisión será igualmente preceptivo.</w:t>
      </w:r>
    </w:p>
    <w:p w14:paraId="6E62722F" w14:textId="77777777" w:rsidR="00E7668F" w:rsidRDefault="00E7668F" w:rsidP="00E7668F">
      <w:pPr>
        <w:jc w:val="both"/>
      </w:pPr>
    </w:p>
    <w:p w14:paraId="51C36FBB" w14:textId="77777777" w:rsidR="00E7668F" w:rsidRDefault="00E7668F" w:rsidP="00E7668F">
      <w:pPr>
        <w:jc w:val="both"/>
        <w:rPr>
          <w:rFonts w:ascii="Arial" w:hAnsi="Arial" w:cs="Arial"/>
        </w:rPr>
      </w:pPr>
      <w:r>
        <w:t xml:space="preserve"> Artículo 236. </w:t>
      </w:r>
      <w:r w:rsidRPr="00BA1204">
        <w:rPr>
          <w:b/>
        </w:rPr>
        <w:t>Replanteo del proyecto</w:t>
      </w:r>
      <w:r>
        <w:t xml:space="preserve">. 1. </w:t>
      </w:r>
      <w:r w:rsidRPr="00BA1204">
        <w:rPr>
          <w:u w:val="single"/>
        </w:rPr>
        <w:t xml:space="preserve">Aprobado el proyecto y previamente a la aprobación del expediente de contratación de la obra, se procederá a efectuar el replanteo </w:t>
      </w:r>
      <w:proofErr w:type="gramStart"/>
      <w:r w:rsidRPr="00BA1204">
        <w:rPr>
          <w:u w:val="single"/>
        </w:rPr>
        <w:t>del mismo</w:t>
      </w:r>
      <w:proofErr w:type="gramEnd"/>
      <w:r>
        <w:t xml:space="preserve">, el cual consistirá en comprobar la realidad geométrica de la misma y la disponibilidad de los terrenos precisos para su normal ejecución. </w:t>
      </w:r>
      <w:proofErr w:type="gramStart"/>
      <w:r>
        <w:t>Asimismo</w:t>
      </w:r>
      <w:proofErr w:type="gramEnd"/>
      <w:r>
        <w:t xml:space="preserve"> se deberán comprobar cuantos supuestos figuren en el proyecto elaborado y sean básicos para el contrato a celebrar. 2. En la tramitación de los expedientes de contratación referentes a obras de infraestructuras hidráulicas, de transporte y de carreteras, se dispensará del requisito previo de disponibilidad de los terrenos, si bien no se podrá iniciar la ejecución de las obras en tanto no se haya formalizado la ocupación en virtud de la vigente Ley de Expropiación Forzosa. 3. En los casos de cesión de terrenos o locales por Entidades públicas, será suficiente para acreditar la disponibilidad de los terrenos, la aportación de los acuerdos de cesión y aceptación por los órganos competentes. 4. Una vez realizado el replanteo se incorporará el proyecto al expediente de contratación.</w:t>
      </w:r>
    </w:p>
    <w:p w14:paraId="51A2401C" w14:textId="77777777" w:rsidR="00E7668F" w:rsidRPr="00C37872" w:rsidRDefault="00E7668F" w:rsidP="00E7668F">
      <w:pPr>
        <w:jc w:val="both"/>
        <w:rPr>
          <w:rFonts w:ascii="Arial" w:hAnsi="Arial" w:cs="Arial"/>
        </w:rPr>
      </w:pPr>
    </w:p>
    <w:p w14:paraId="58825095" w14:textId="77777777" w:rsidR="00E7668F" w:rsidRPr="007F63B0" w:rsidRDefault="00E7668F" w:rsidP="00E7668F">
      <w:pPr>
        <w:jc w:val="both"/>
        <w:rPr>
          <w:rFonts w:ascii="Arial" w:hAnsi="Arial" w:cs="Arial"/>
          <w:i/>
        </w:rPr>
      </w:pPr>
    </w:p>
    <w:p w14:paraId="1A5A38E0" w14:textId="77777777" w:rsidR="00E7668F" w:rsidRPr="00C37872" w:rsidRDefault="00E7668F" w:rsidP="00E7668F">
      <w:pPr>
        <w:jc w:val="both"/>
        <w:rPr>
          <w:rFonts w:ascii="Arial" w:hAnsi="Arial" w:cs="Arial"/>
          <w:b/>
        </w:rPr>
      </w:pPr>
    </w:p>
    <w:p w14:paraId="1244AD90" w14:textId="77777777" w:rsidR="00E7668F" w:rsidRPr="00C37872" w:rsidRDefault="00E7668F" w:rsidP="00E7668F">
      <w:pPr>
        <w:jc w:val="center"/>
        <w:rPr>
          <w:rFonts w:ascii="Arial" w:hAnsi="Arial" w:cs="Arial"/>
        </w:rPr>
      </w:pPr>
      <w:r>
        <w:rPr>
          <w:rFonts w:ascii="Arial" w:hAnsi="Arial" w:cs="Arial"/>
        </w:rPr>
        <w:t>(UNIDAD PROPONENTE)</w:t>
      </w:r>
    </w:p>
    <w:p w14:paraId="6FC32C06" w14:textId="77777777" w:rsidR="00E7668F" w:rsidRPr="00C37872" w:rsidRDefault="00E7668F" w:rsidP="00E7668F">
      <w:pPr>
        <w:jc w:val="center"/>
        <w:rPr>
          <w:rFonts w:ascii="Arial" w:hAnsi="Arial" w:cs="Arial"/>
        </w:rPr>
      </w:pPr>
    </w:p>
    <w:p w14:paraId="2D7CE3A8" w14:textId="77777777" w:rsidR="00E7668F" w:rsidRPr="00C37872" w:rsidRDefault="00E7668F" w:rsidP="00E7668F">
      <w:pPr>
        <w:rPr>
          <w:rFonts w:ascii="Arial" w:hAnsi="Arial" w:cs="Arial"/>
        </w:rPr>
      </w:pPr>
    </w:p>
    <w:p w14:paraId="2B367914" w14:textId="77777777" w:rsidR="00E7668F" w:rsidRPr="00C37872" w:rsidRDefault="00E7668F" w:rsidP="00E7668F">
      <w:pPr>
        <w:jc w:val="center"/>
        <w:rPr>
          <w:rFonts w:ascii="Arial" w:hAnsi="Arial" w:cs="Arial"/>
        </w:rPr>
      </w:pPr>
    </w:p>
    <w:p w14:paraId="63CFADF5" w14:textId="77777777" w:rsidR="00E7668F" w:rsidRPr="00C37872" w:rsidRDefault="00E7668F" w:rsidP="00E7668F">
      <w:pPr>
        <w:jc w:val="center"/>
        <w:rPr>
          <w:rFonts w:ascii="Arial" w:hAnsi="Arial" w:cs="Arial"/>
          <w:u w:val="single"/>
        </w:rPr>
      </w:pPr>
      <w:r w:rsidRPr="00C37872">
        <w:rPr>
          <w:rFonts w:ascii="Arial" w:hAnsi="Arial" w:cs="Arial"/>
        </w:rPr>
        <w:t>F</w:t>
      </w:r>
      <w:r>
        <w:rPr>
          <w:rFonts w:ascii="Arial" w:hAnsi="Arial" w:cs="Arial"/>
        </w:rPr>
        <w:t>irma digital</w:t>
      </w:r>
      <w:r w:rsidRPr="00C37872">
        <w:rPr>
          <w:rFonts w:ascii="Arial" w:hAnsi="Arial" w:cs="Arial"/>
        </w:rPr>
        <w:t xml:space="preserve">.: </w:t>
      </w:r>
      <w:r w:rsidRPr="00C37872">
        <w:rPr>
          <w:rFonts w:ascii="Arial" w:hAnsi="Arial" w:cs="Arial"/>
          <w:u w:val="single"/>
        </w:rPr>
        <w:tab/>
      </w:r>
      <w:r w:rsidRPr="00C37872">
        <w:rPr>
          <w:rFonts w:ascii="Arial" w:hAnsi="Arial" w:cs="Arial"/>
          <w:u w:val="single"/>
        </w:rPr>
        <w:tab/>
      </w:r>
      <w:r w:rsidRPr="00C37872">
        <w:rPr>
          <w:rFonts w:ascii="Arial" w:hAnsi="Arial" w:cs="Arial"/>
          <w:u w:val="single"/>
        </w:rPr>
        <w:tab/>
      </w:r>
      <w:r w:rsidRPr="00C37872">
        <w:rPr>
          <w:rFonts w:ascii="Arial" w:hAnsi="Arial" w:cs="Arial"/>
          <w:u w:val="single"/>
        </w:rPr>
        <w:tab/>
      </w:r>
      <w:r w:rsidRPr="00C37872">
        <w:rPr>
          <w:rFonts w:ascii="Arial" w:hAnsi="Arial" w:cs="Arial"/>
          <w:u w:val="single"/>
        </w:rPr>
        <w:tab/>
      </w:r>
    </w:p>
    <w:p w14:paraId="1F1FA274" w14:textId="5CBD16BF" w:rsidR="00D26F0C" w:rsidRPr="00E7668F" w:rsidRDefault="00D26F0C" w:rsidP="00E7668F"/>
    <w:sectPr w:rsidR="00D26F0C" w:rsidRPr="00E7668F" w:rsidSect="006B1C6E">
      <w:headerReference w:type="even" r:id="rId6"/>
      <w:headerReference w:type="default" r:id="rId7"/>
      <w:footerReference w:type="even" r:id="rId8"/>
      <w:footerReference w:type="default" r:id="rId9"/>
      <w:headerReference w:type="first" r:id="rId10"/>
      <w:footerReference w:type="first" r:id="rId11"/>
      <w:pgSz w:w="11909" w:h="16834"/>
      <w:pgMar w:top="0" w:right="1440" w:bottom="3261" w:left="1440" w:header="8" w:footer="11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DB4E" w14:textId="77777777" w:rsidR="006B1C6E" w:rsidRDefault="006B1C6E">
      <w:r>
        <w:separator/>
      </w:r>
    </w:p>
  </w:endnote>
  <w:endnote w:type="continuationSeparator" w:id="0">
    <w:p w14:paraId="19F0BAC0" w14:textId="77777777" w:rsidR="006B1C6E" w:rsidRDefault="006B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B2A9" w14:textId="77777777" w:rsidR="00AC784B" w:rsidRDefault="00AC78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3F87" w14:textId="77777777" w:rsidR="00051EE0" w:rsidRDefault="00A910AB" w:rsidP="00215CFC">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7561E740" wp14:editId="47F16B99">
          <wp:simplePos x="0" y="0"/>
          <wp:positionH relativeFrom="page">
            <wp:posOffset>5970905</wp:posOffset>
          </wp:positionH>
          <wp:positionV relativeFrom="page">
            <wp:posOffset>8935085</wp:posOffset>
          </wp:positionV>
          <wp:extent cx="1574165" cy="1207770"/>
          <wp:effectExtent l="0" t="0" r="6985" b="0"/>
          <wp:wrapNone/>
          <wp:docPr id="2007879216" name="Imagen 20078792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63807" t="17062" r="-1" b="16463"/>
                  <a:stretch/>
                </pic:blipFill>
                <pic:spPr bwMode="auto">
                  <a:xfrm>
                    <a:off x="0" y="0"/>
                    <a:ext cx="1574165" cy="120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F6A7" w14:textId="77777777" w:rsidR="00AC784B" w:rsidRDefault="00AC78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90DD" w14:textId="77777777" w:rsidR="006B1C6E" w:rsidRDefault="006B1C6E">
      <w:r>
        <w:separator/>
      </w:r>
    </w:p>
  </w:footnote>
  <w:footnote w:type="continuationSeparator" w:id="0">
    <w:p w14:paraId="1F2B4AFD" w14:textId="77777777" w:rsidR="006B1C6E" w:rsidRDefault="006B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D192" w14:textId="77777777" w:rsidR="00AC784B" w:rsidRDefault="00AC78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43EE" w14:textId="77777777" w:rsidR="00F73C10" w:rsidRDefault="00376F39" w:rsidP="00D4205D">
    <w:pPr>
      <w:jc w:val="center"/>
      <w:rPr>
        <w:sz w:val="20"/>
        <w:szCs w:val="20"/>
      </w:rPr>
    </w:pPr>
    <w:r>
      <w:rPr>
        <w:noProof/>
      </w:rPr>
      <w:drawing>
        <wp:anchor distT="0" distB="0" distL="114300" distR="114300" simplePos="0" relativeHeight="251660288" behindDoc="0" locked="0" layoutInCell="1" allowOverlap="1" wp14:anchorId="03A64092" wp14:editId="1C07E17B">
          <wp:simplePos x="0" y="0"/>
          <wp:positionH relativeFrom="column">
            <wp:posOffset>-351155</wp:posOffset>
          </wp:positionH>
          <wp:positionV relativeFrom="paragraph">
            <wp:posOffset>-5080</wp:posOffset>
          </wp:positionV>
          <wp:extent cx="7557770" cy="1524000"/>
          <wp:effectExtent l="0" t="0" r="5080" b="0"/>
          <wp:wrapSquare wrapText="bothSides"/>
          <wp:docPr id="2133344635" name="Imagen 213334463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5777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12E8" w14:textId="77777777" w:rsidR="00AC784B" w:rsidRDefault="00AC78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39"/>
    <w:rsid w:val="00051EE0"/>
    <w:rsid w:val="001F4A7A"/>
    <w:rsid w:val="00205F69"/>
    <w:rsid w:val="00215CFC"/>
    <w:rsid w:val="00295993"/>
    <w:rsid w:val="002B0EC6"/>
    <w:rsid w:val="002F0E9D"/>
    <w:rsid w:val="003351E5"/>
    <w:rsid w:val="00360893"/>
    <w:rsid w:val="00376F39"/>
    <w:rsid w:val="00382684"/>
    <w:rsid w:val="004F2457"/>
    <w:rsid w:val="0060130D"/>
    <w:rsid w:val="00645F2B"/>
    <w:rsid w:val="006B1C6E"/>
    <w:rsid w:val="007636EA"/>
    <w:rsid w:val="009E448C"/>
    <w:rsid w:val="00A910AB"/>
    <w:rsid w:val="00AC784B"/>
    <w:rsid w:val="00B2724B"/>
    <w:rsid w:val="00B56CB5"/>
    <w:rsid w:val="00C13539"/>
    <w:rsid w:val="00CA3DE2"/>
    <w:rsid w:val="00D0057C"/>
    <w:rsid w:val="00D26F0C"/>
    <w:rsid w:val="00D4205D"/>
    <w:rsid w:val="00DC1AED"/>
    <w:rsid w:val="00DE78FB"/>
    <w:rsid w:val="00E7668F"/>
    <w:rsid w:val="00F73C10"/>
    <w:rsid w:val="00F93FB0"/>
    <w:rsid w:val="00FA32EC"/>
    <w:rsid w:val="00FA5966"/>
    <w:rsid w:val="00FD7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1350A"/>
  <w15:docId w15:val="{73B34493-F0CF-454E-A00F-632968D6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8F"/>
    <w:pPr>
      <w:spacing w:line="240" w:lineRule="auto"/>
      <w:ind w:left="0" w:right="0"/>
      <w:jc w:val="left"/>
    </w:pPr>
    <w:rPr>
      <w:rFonts w:ascii="Times New Roman" w:eastAsia="Times New Roman" w:hAnsi="Times New Roman" w:cs="Times New Roman"/>
      <w:lang w:val="es-ES" w:eastAsia="es-ES"/>
    </w:rPr>
  </w:style>
  <w:style w:type="paragraph" w:styleId="Ttulo1">
    <w:name w:val="heading 1"/>
    <w:basedOn w:val="Normal"/>
    <w:next w:val="Normal"/>
    <w:uiPriority w:val="9"/>
    <w:qFormat/>
    <w:pPr>
      <w:keepNext/>
      <w:keepLines/>
      <w:spacing w:before="400"/>
      <w:ind w:left="1842" w:right="-607"/>
      <w:outlineLvl w:val="0"/>
    </w:pPr>
    <w:rPr>
      <w:rFonts w:ascii="IBM Plex Sans" w:eastAsia="IBM Plex Sans" w:hAnsi="IBM Plex Sans" w:cs="IBM Plex Sans"/>
      <w:sz w:val="40"/>
      <w:szCs w:val="40"/>
      <w:lang w:val="es" w:eastAsia="es-ES_tradnl"/>
    </w:rPr>
  </w:style>
  <w:style w:type="paragraph" w:styleId="Ttulo2">
    <w:name w:val="heading 2"/>
    <w:basedOn w:val="Normal"/>
    <w:next w:val="Normal"/>
    <w:uiPriority w:val="9"/>
    <w:semiHidden/>
    <w:unhideWhenUsed/>
    <w:qFormat/>
    <w:pPr>
      <w:keepNext/>
      <w:keepLines/>
      <w:spacing w:before="360" w:after="120" w:line="276" w:lineRule="auto"/>
      <w:ind w:left="1842" w:right="-466"/>
      <w:jc w:val="both"/>
      <w:outlineLvl w:val="1"/>
    </w:pPr>
    <w:rPr>
      <w:rFonts w:ascii="IBM Plex Sans" w:eastAsia="IBM Plex Sans" w:hAnsi="IBM Plex Sans" w:cs="IBM Plex Sans"/>
      <w:sz w:val="32"/>
      <w:szCs w:val="32"/>
      <w:lang w:val="es" w:eastAsia="es-ES_tradnl"/>
    </w:rPr>
  </w:style>
  <w:style w:type="paragraph" w:styleId="Ttulo3">
    <w:name w:val="heading 3"/>
    <w:basedOn w:val="Normal"/>
    <w:next w:val="Normal"/>
    <w:uiPriority w:val="9"/>
    <w:semiHidden/>
    <w:unhideWhenUsed/>
    <w:qFormat/>
    <w:pPr>
      <w:keepNext/>
      <w:keepLines/>
      <w:spacing w:before="320" w:after="80" w:line="276" w:lineRule="auto"/>
      <w:ind w:left="1842" w:right="-466"/>
      <w:jc w:val="both"/>
      <w:outlineLvl w:val="2"/>
    </w:pPr>
    <w:rPr>
      <w:rFonts w:ascii="IBM Plex Sans" w:eastAsia="IBM Plex Sans" w:hAnsi="IBM Plex Sans" w:cs="IBM Plex Sans"/>
      <w:color w:val="434343"/>
      <w:sz w:val="28"/>
      <w:szCs w:val="28"/>
      <w:lang w:val="es" w:eastAsia="es-ES_tradnl"/>
    </w:rPr>
  </w:style>
  <w:style w:type="paragraph" w:styleId="Ttulo4">
    <w:name w:val="heading 4"/>
    <w:basedOn w:val="Normal"/>
    <w:next w:val="Normal"/>
    <w:uiPriority w:val="9"/>
    <w:semiHidden/>
    <w:unhideWhenUsed/>
    <w:qFormat/>
    <w:pPr>
      <w:keepNext/>
      <w:keepLines/>
      <w:spacing w:before="280" w:after="80" w:line="276" w:lineRule="auto"/>
      <w:ind w:left="1842" w:right="-466"/>
      <w:jc w:val="both"/>
      <w:outlineLvl w:val="3"/>
    </w:pPr>
    <w:rPr>
      <w:rFonts w:ascii="IBM Plex Sans" w:eastAsia="IBM Plex Sans" w:hAnsi="IBM Plex Sans" w:cs="IBM Plex Sans"/>
      <w:color w:val="666666"/>
      <w:lang w:val="es" w:eastAsia="es-ES_tradnl"/>
    </w:rPr>
  </w:style>
  <w:style w:type="paragraph" w:styleId="Ttulo5">
    <w:name w:val="heading 5"/>
    <w:basedOn w:val="Normal"/>
    <w:next w:val="Normal"/>
    <w:uiPriority w:val="9"/>
    <w:semiHidden/>
    <w:unhideWhenUsed/>
    <w:qFormat/>
    <w:pPr>
      <w:keepNext/>
      <w:keepLines/>
      <w:spacing w:before="240" w:after="80" w:line="276" w:lineRule="auto"/>
      <w:ind w:left="1842" w:right="-466"/>
      <w:jc w:val="both"/>
      <w:outlineLvl w:val="4"/>
    </w:pPr>
    <w:rPr>
      <w:rFonts w:ascii="IBM Plex Sans" w:eastAsia="IBM Plex Sans" w:hAnsi="IBM Plex Sans" w:cs="IBM Plex Sans"/>
      <w:color w:val="666666"/>
      <w:sz w:val="22"/>
      <w:szCs w:val="22"/>
      <w:lang w:val="es" w:eastAsia="es-ES_tradnl"/>
    </w:rPr>
  </w:style>
  <w:style w:type="paragraph" w:styleId="Ttulo6">
    <w:name w:val="heading 6"/>
    <w:basedOn w:val="Normal"/>
    <w:next w:val="Normal"/>
    <w:uiPriority w:val="9"/>
    <w:semiHidden/>
    <w:unhideWhenUsed/>
    <w:qFormat/>
    <w:pPr>
      <w:keepNext/>
      <w:keepLines/>
      <w:spacing w:before="240" w:after="80" w:line="276" w:lineRule="auto"/>
      <w:ind w:left="1842" w:right="-466"/>
      <w:jc w:val="both"/>
      <w:outlineLvl w:val="5"/>
    </w:pPr>
    <w:rPr>
      <w:rFonts w:ascii="IBM Plex Sans" w:eastAsia="IBM Plex Sans" w:hAnsi="IBM Plex Sans" w:cs="IBM Plex Sans"/>
      <w:i/>
      <w:color w:val="666666"/>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ind w:left="1842" w:right="-607"/>
      <w:jc w:val="both"/>
    </w:pPr>
    <w:rPr>
      <w:rFonts w:ascii="IBM Plex Sans" w:eastAsia="IBM Plex Sans" w:hAnsi="IBM Plex Sans" w:cs="IBM Plex Sans"/>
      <w:sz w:val="40"/>
      <w:szCs w:val="40"/>
      <w:lang w:val="es" w:eastAsia="es-ES_tradnl"/>
    </w:rPr>
  </w:style>
  <w:style w:type="paragraph" w:styleId="Subttulo">
    <w:name w:val="Subtitle"/>
    <w:basedOn w:val="Normal"/>
    <w:next w:val="Normal"/>
    <w:uiPriority w:val="11"/>
    <w:qFormat/>
    <w:pPr>
      <w:keepNext/>
      <w:keepLines/>
      <w:spacing w:after="320" w:line="276" w:lineRule="auto"/>
      <w:ind w:left="1842" w:right="-466"/>
      <w:jc w:val="both"/>
    </w:pPr>
    <w:rPr>
      <w:rFonts w:ascii="Arial" w:eastAsia="Arial" w:hAnsi="Arial" w:cs="Arial"/>
      <w:color w:val="666666"/>
      <w:sz w:val="30"/>
      <w:szCs w:val="30"/>
      <w:lang w:val="es" w:eastAsia="es-ES_tradnl"/>
    </w:rPr>
  </w:style>
  <w:style w:type="paragraph" w:styleId="Encabezado">
    <w:name w:val="header"/>
    <w:basedOn w:val="Normal"/>
    <w:link w:val="EncabezadoCar"/>
    <w:uiPriority w:val="99"/>
    <w:unhideWhenUsed/>
    <w:rsid w:val="00A910AB"/>
    <w:pPr>
      <w:tabs>
        <w:tab w:val="center" w:pos="4419"/>
        <w:tab w:val="right" w:pos="8838"/>
      </w:tabs>
      <w:ind w:left="1842" w:right="-466"/>
      <w:jc w:val="both"/>
    </w:pPr>
    <w:rPr>
      <w:rFonts w:ascii="IBM Plex Sans" w:eastAsia="IBM Plex Sans" w:hAnsi="IBM Plex Sans" w:cs="IBM Plex Sans"/>
      <w:lang w:val="es" w:eastAsia="es-ES_tradnl"/>
    </w:r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ind w:left="1842" w:right="-466"/>
      <w:jc w:val="both"/>
    </w:pPr>
    <w:rPr>
      <w:rFonts w:ascii="IBM Plex Sans" w:eastAsia="IBM Plex Sans" w:hAnsi="IBM Plex Sans" w:cs="IBM Plex Sans"/>
      <w:lang w:val="es" w:eastAsia="es-ES_tradnl"/>
    </w:r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Desktop\FOLIOS%20&#193;REA\Folio-gen&#233;rico-UMU%20para%20firma%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Folio-genérico-UMU para firma digital.dotx</Template>
  <TotalTime>2</TotalTime>
  <Pages>1</Pages>
  <Words>339</Words>
  <Characters>1866</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los Angeles Ramirez Abenza</dc:creator>
  <cp:lastModifiedBy>MARIA JOSE MORENO LAZARO</cp:lastModifiedBy>
  <cp:revision>2</cp:revision>
  <dcterms:created xsi:type="dcterms:W3CDTF">2024-02-07T10:27:00Z</dcterms:created>
  <dcterms:modified xsi:type="dcterms:W3CDTF">2024-02-07T10:27:00Z</dcterms:modified>
</cp:coreProperties>
</file>